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1BA88" w14:textId="4D8DF2BA" w:rsidR="006F0F97" w:rsidRDefault="00AD76EF" w:rsidP="006F0F97">
      <w:pPr>
        <w:jc w:val="center"/>
        <w:rPr>
          <w:b/>
          <w:sz w:val="40"/>
          <w:szCs w:val="40"/>
        </w:rPr>
      </w:pPr>
      <w:r>
        <w:rPr>
          <w:noProof/>
          <w:lang w:eastAsia="en-GB"/>
        </w:rPr>
        <w:drawing>
          <wp:inline distT="0" distB="0" distL="0" distR="0" wp14:anchorId="59A5A967" wp14:editId="013143F2">
            <wp:extent cx="5759450" cy="1066800"/>
            <wp:effectExtent l="0" t="0" r="0" b="0"/>
            <wp:docPr id="743" name="Picture 743"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1066800"/>
                    </a:xfrm>
                    <a:prstGeom prst="rect">
                      <a:avLst/>
                    </a:prstGeom>
                  </pic:spPr>
                </pic:pic>
              </a:graphicData>
            </a:graphic>
          </wp:inline>
        </w:drawing>
      </w:r>
    </w:p>
    <w:p w14:paraId="376DB5CB" w14:textId="77777777" w:rsidR="006F0F97" w:rsidRDefault="006F0F97" w:rsidP="006F0F97">
      <w:pPr>
        <w:jc w:val="center"/>
        <w:rPr>
          <w:b/>
          <w:sz w:val="40"/>
          <w:szCs w:val="40"/>
        </w:rPr>
      </w:pPr>
    </w:p>
    <w:p w14:paraId="06E4040B" w14:textId="77777777" w:rsidR="006F0F97" w:rsidRDefault="006F0F97" w:rsidP="006F0F97">
      <w:pPr>
        <w:jc w:val="center"/>
        <w:rPr>
          <w:b/>
          <w:sz w:val="40"/>
          <w:szCs w:val="40"/>
        </w:rPr>
      </w:pPr>
    </w:p>
    <w:p w14:paraId="747BCA06" w14:textId="77777777" w:rsidR="006F0F97" w:rsidRDefault="006F0F97" w:rsidP="006F0F97">
      <w:pPr>
        <w:jc w:val="center"/>
        <w:rPr>
          <w:b/>
          <w:sz w:val="40"/>
          <w:szCs w:val="40"/>
        </w:rPr>
      </w:pPr>
    </w:p>
    <w:p w14:paraId="4C023294" w14:textId="77777777" w:rsidR="006F0F97" w:rsidRDefault="006F0F97" w:rsidP="006F0F97">
      <w:pPr>
        <w:jc w:val="center"/>
        <w:rPr>
          <w:b/>
          <w:sz w:val="40"/>
          <w:szCs w:val="40"/>
        </w:rPr>
      </w:pPr>
    </w:p>
    <w:p w14:paraId="0B5B2EE9" w14:textId="2FE89791" w:rsidR="00683AFE" w:rsidRPr="00AC48C5" w:rsidRDefault="0015206B" w:rsidP="00C925EA">
      <w:pPr>
        <w:jc w:val="center"/>
        <w:rPr>
          <w:b/>
          <w:sz w:val="40"/>
          <w:szCs w:val="40"/>
        </w:rPr>
      </w:pPr>
      <w:r>
        <w:rPr>
          <w:b/>
          <w:bCs/>
          <w:sz w:val="40"/>
          <w:szCs w:val="40"/>
        </w:rPr>
        <w:t>Additional commentary on the s</w:t>
      </w:r>
      <w:r w:rsidR="00C925EA">
        <w:rPr>
          <w:b/>
          <w:bCs/>
          <w:sz w:val="40"/>
          <w:szCs w:val="40"/>
        </w:rPr>
        <w:t xml:space="preserve">ystematic </w:t>
      </w:r>
      <w:r>
        <w:rPr>
          <w:b/>
          <w:bCs/>
          <w:sz w:val="40"/>
          <w:szCs w:val="40"/>
        </w:rPr>
        <w:t>r</w:t>
      </w:r>
      <w:r w:rsidR="00C925EA">
        <w:rPr>
          <w:b/>
          <w:bCs/>
          <w:sz w:val="40"/>
          <w:szCs w:val="40"/>
        </w:rPr>
        <w:t xml:space="preserve">eview of the evidence for a relationship between trans-fatty acids and blood cholesterol </w:t>
      </w:r>
    </w:p>
    <w:p w14:paraId="44235DA3" w14:textId="77777777" w:rsidR="00683AFE" w:rsidRPr="00AC48C5" w:rsidRDefault="00683AFE" w:rsidP="00683AFE">
      <w:pPr>
        <w:jc w:val="center"/>
        <w:rPr>
          <w:b/>
        </w:rPr>
      </w:pPr>
    </w:p>
    <w:p w14:paraId="1BCC0A83" w14:textId="77777777" w:rsidR="006F0F97" w:rsidRPr="001B6A27" w:rsidRDefault="006F0F97" w:rsidP="006F0F97">
      <w:pPr>
        <w:jc w:val="center"/>
        <w:rPr>
          <w:b/>
          <w:sz w:val="40"/>
          <w:szCs w:val="40"/>
        </w:rPr>
      </w:pPr>
    </w:p>
    <w:p w14:paraId="7DBC0453" w14:textId="77777777" w:rsidR="006F0F97" w:rsidRPr="001B6A27" w:rsidRDefault="006F0F97" w:rsidP="006F0F97">
      <w:pPr>
        <w:jc w:val="center"/>
        <w:rPr>
          <w:b/>
        </w:rPr>
      </w:pPr>
    </w:p>
    <w:p w14:paraId="30FEE1F5" w14:textId="77777777" w:rsidR="006F0F97" w:rsidRPr="001B6A27" w:rsidRDefault="006F0F97" w:rsidP="006F0F97">
      <w:pPr>
        <w:jc w:val="center"/>
        <w:rPr>
          <w:b/>
        </w:rPr>
      </w:pPr>
    </w:p>
    <w:p w14:paraId="3D2F4CF2" w14:textId="77777777" w:rsidR="006F0F97" w:rsidRPr="001B6A27" w:rsidRDefault="006F0F97" w:rsidP="006F0F97">
      <w:pPr>
        <w:jc w:val="center"/>
        <w:rPr>
          <w:b/>
          <w:sz w:val="28"/>
          <w:szCs w:val="28"/>
        </w:rPr>
      </w:pPr>
      <w:r w:rsidRPr="001B6A27">
        <w:rPr>
          <w:b/>
          <w:sz w:val="28"/>
          <w:szCs w:val="28"/>
        </w:rPr>
        <w:t>Prepared by: Food Standards Australia New Zealand</w:t>
      </w:r>
    </w:p>
    <w:p w14:paraId="5AA7AAB1" w14:textId="77777777" w:rsidR="006F0F97" w:rsidRPr="001B6A27" w:rsidRDefault="006F0F97" w:rsidP="006F0F97">
      <w:pPr>
        <w:jc w:val="center"/>
        <w:rPr>
          <w:b/>
          <w:sz w:val="28"/>
          <w:szCs w:val="28"/>
          <w:highlight w:val="yellow"/>
        </w:rPr>
      </w:pPr>
    </w:p>
    <w:p w14:paraId="6D4C2CC7" w14:textId="77777777" w:rsidR="006F0F97" w:rsidRPr="001B6A27" w:rsidRDefault="006F0F97" w:rsidP="006F0F97">
      <w:pPr>
        <w:jc w:val="center"/>
        <w:rPr>
          <w:b/>
          <w:highlight w:val="yellow"/>
        </w:rPr>
      </w:pPr>
    </w:p>
    <w:p w14:paraId="1E5EBE63" w14:textId="1330609F" w:rsidR="006F0F97" w:rsidRPr="00004199" w:rsidRDefault="006F0F97" w:rsidP="006F0F97">
      <w:pPr>
        <w:jc w:val="center"/>
        <w:rPr>
          <w:b/>
          <w:sz w:val="28"/>
          <w:szCs w:val="28"/>
        </w:rPr>
      </w:pPr>
      <w:r w:rsidRPr="00004199">
        <w:rPr>
          <w:b/>
          <w:sz w:val="28"/>
          <w:szCs w:val="28"/>
        </w:rPr>
        <w:t xml:space="preserve">Date: </w:t>
      </w:r>
      <w:r w:rsidR="004107BF">
        <w:rPr>
          <w:b/>
          <w:sz w:val="28"/>
          <w:szCs w:val="28"/>
        </w:rPr>
        <w:t xml:space="preserve">August </w:t>
      </w:r>
      <w:r w:rsidRPr="00004199">
        <w:rPr>
          <w:b/>
          <w:sz w:val="28"/>
          <w:szCs w:val="28"/>
        </w:rPr>
        <w:t>201</w:t>
      </w:r>
      <w:r w:rsidR="007030FC">
        <w:rPr>
          <w:b/>
          <w:sz w:val="28"/>
          <w:szCs w:val="28"/>
        </w:rPr>
        <w:t>5</w:t>
      </w:r>
    </w:p>
    <w:p w14:paraId="2F8AFE2D" w14:textId="77777777" w:rsidR="003B166D" w:rsidRDefault="003B166D">
      <w:pPr>
        <w:rPr>
          <w:b/>
          <w:highlight w:val="yellow"/>
        </w:rPr>
        <w:sectPr w:rsidR="003B166D" w:rsidSect="00C925EA">
          <w:footerReference w:type="default" r:id="rId16"/>
          <w:pgSz w:w="11906" w:h="16838"/>
          <w:pgMar w:top="1418" w:right="1418" w:bottom="1418" w:left="1418" w:header="709" w:footer="709" w:gutter="0"/>
          <w:cols w:space="708"/>
          <w:docGrid w:linePitch="360"/>
        </w:sectPr>
      </w:pPr>
    </w:p>
    <w:p w14:paraId="03D57917" w14:textId="77777777" w:rsidR="00314512" w:rsidRDefault="00314512" w:rsidP="00AF2396">
      <w:pPr>
        <w:ind w:left="-284"/>
        <w:rPr>
          <w:b/>
          <w:sz w:val="28"/>
          <w:szCs w:val="28"/>
        </w:rPr>
      </w:pPr>
      <w:r w:rsidRPr="00AF2396">
        <w:rPr>
          <w:b/>
          <w:sz w:val="28"/>
          <w:szCs w:val="28"/>
        </w:rPr>
        <w:lastRenderedPageBreak/>
        <w:t>Executive Summary</w:t>
      </w:r>
    </w:p>
    <w:p w14:paraId="0511D5E4" w14:textId="77777777" w:rsidR="00AF2396" w:rsidRPr="00AF2396" w:rsidRDefault="00AF2396" w:rsidP="00AF2396">
      <w:pPr>
        <w:ind w:left="-284"/>
        <w:rPr>
          <w:b/>
          <w:sz w:val="28"/>
          <w:szCs w:val="28"/>
        </w:rPr>
      </w:pPr>
    </w:p>
    <w:p w14:paraId="57519D09" w14:textId="77777777" w:rsidR="00AF2396" w:rsidRPr="00AF2396" w:rsidRDefault="00AF2396" w:rsidP="003B166D">
      <w:pPr>
        <w:rPr>
          <w:b/>
          <w:sz w:val="20"/>
          <w:szCs w:val="20"/>
        </w:rPr>
      </w:pPr>
    </w:p>
    <w:tbl>
      <w:tblPr>
        <w:tblStyle w:val="TableGrid"/>
        <w:tblW w:w="9498" w:type="dxa"/>
        <w:tblInd w:w="-176" w:type="dxa"/>
        <w:tblLook w:val="04A0" w:firstRow="1" w:lastRow="0" w:firstColumn="1" w:lastColumn="0" w:noHBand="0" w:noVBand="1"/>
        <w:tblDescription w:val="Summary of the first food-health relatonship examined in the systematic review. There are two sections to the table. The top part states a food-health relationship with the outcome from the review and the bottom section lists the five key aspects of the review."/>
      </w:tblPr>
      <w:tblGrid>
        <w:gridCol w:w="2127"/>
        <w:gridCol w:w="7371"/>
      </w:tblGrid>
      <w:tr w:rsidR="00314512" w:rsidRPr="001B6A27" w14:paraId="395F5037" w14:textId="77777777" w:rsidTr="0012317E">
        <w:trPr>
          <w:trHeight w:val="485"/>
          <w:tblHeader/>
        </w:trPr>
        <w:tc>
          <w:tcPr>
            <w:tcW w:w="9498" w:type="dxa"/>
            <w:gridSpan w:val="2"/>
            <w:tcBorders>
              <w:top w:val="single" w:sz="12" w:space="0" w:color="auto"/>
              <w:left w:val="single" w:sz="12" w:space="0" w:color="auto"/>
              <w:bottom w:val="single" w:sz="4" w:space="0" w:color="A6A6A6" w:themeColor="background1" w:themeShade="A6"/>
              <w:right w:val="single" w:sz="12" w:space="0" w:color="auto"/>
            </w:tcBorders>
            <w:vAlign w:val="center"/>
          </w:tcPr>
          <w:p w14:paraId="2F931A28" w14:textId="77777777" w:rsidR="00314512" w:rsidRPr="00AF2396" w:rsidRDefault="00314512" w:rsidP="00314512">
            <w:pPr>
              <w:rPr>
                <w:rFonts w:cs="Arial"/>
                <w:b/>
                <w:sz w:val="20"/>
                <w:szCs w:val="20"/>
              </w:rPr>
            </w:pPr>
            <w:r w:rsidRPr="00AF2396">
              <w:rPr>
                <w:rFonts w:cs="Arial"/>
                <w:b/>
                <w:sz w:val="20"/>
                <w:szCs w:val="20"/>
              </w:rPr>
              <w:t>Does trans fatty acid</w:t>
            </w:r>
            <w:r w:rsidRPr="00AF2396">
              <w:rPr>
                <w:rFonts w:cs="Arial"/>
                <w:b/>
                <w:color w:val="FF0000"/>
                <w:sz w:val="20"/>
                <w:szCs w:val="20"/>
              </w:rPr>
              <w:t xml:space="preserve"> </w:t>
            </w:r>
            <w:r w:rsidRPr="00AF2396">
              <w:rPr>
                <w:rFonts w:cs="Arial"/>
                <w:b/>
                <w:sz w:val="20"/>
                <w:szCs w:val="20"/>
              </w:rPr>
              <w:t>intake affect blood cholesterol concentrations?</w:t>
            </w:r>
          </w:p>
        </w:tc>
      </w:tr>
      <w:tr w:rsidR="00314512" w:rsidRPr="001B6A27" w14:paraId="28B15746" w14:textId="77777777" w:rsidTr="00AF2396">
        <w:trPr>
          <w:trHeight w:val="567"/>
        </w:trPr>
        <w:tc>
          <w:tcPr>
            <w:tcW w:w="2127" w:type="dxa"/>
            <w:tcBorders>
              <w:top w:val="single" w:sz="4" w:space="0" w:color="A6A6A6" w:themeColor="background1" w:themeShade="A6"/>
              <w:left w:val="single" w:sz="12" w:space="0" w:color="auto"/>
              <w:bottom w:val="single" w:sz="4" w:space="0" w:color="A6A6A6" w:themeColor="background1" w:themeShade="A6"/>
              <w:right w:val="nil"/>
            </w:tcBorders>
            <w:vAlign w:val="center"/>
          </w:tcPr>
          <w:p w14:paraId="18952619" w14:textId="77777777" w:rsidR="00314512" w:rsidRPr="00A167FD" w:rsidRDefault="00314512" w:rsidP="00314512">
            <w:pPr>
              <w:rPr>
                <w:rFonts w:cs="Arial"/>
                <w:b/>
                <w:color w:val="000000" w:themeColor="text1"/>
              </w:rPr>
            </w:pPr>
            <w:r w:rsidRPr="00A167FD">
              <w:rPr>
                <w:rFonts w:cs="Arial"/>
                <w:b/>
                <w:color w:val="000000" w:themeColor="text1"/>
              </w:rPr>
              <w:t>Food health relationship</w:t>
            </w:r>
          </w:p>
        </w:tc>
        <w:tc>
          <w:tcPr>
            <w:tcW w:w="7371" w:type="dxa"/>
            <w:tcBorders>
              <w:top w:val="single" w:sz="4" w:space="0" w:color="A6A6A6" w:themeColor="background1" w:themeShade="A6"/>
              <w:left w:val="nil"/>
              <w:bottom w:val="single" w:sz="4" w:space="0" w:color="A6A6A6" w:themeColor="background1" w:themeShade="A6"/>
              <w:right w:val="single" w:sz="12" w:space="0" w:color="auto"/>
            </w:tcBorders>
            <w:vAlign w:val="center"/>
          </w:tcPr>
          <w:p w14:paraId="2CE357F0" w14:textId="267CF57D" w:rsidR="00314512" w:rsidRPr="00AF2396" w:rsidRDefault="00314512" w:rsidP="00AF2396">
            <w:pPr>
              <w:ind w:left="33"/>
              <w:rPr>
                <w:rFonts w:cs="Arial"/>
                <w:color w:val="000000" w:themeColor="text1"/>
                <w:sz w:val="20"/>
                <w:szCs w:val="20"/>
              </w:rPr>
            </w:pPr>
            <w:r w:rsidRPr="00AF2396">
              <w:rPr>
                <w:rFonts w:cs="Arial"/>
                <w:color w:val="000000" w:themeColor="text1"/>
                <w:sz w:val="20"/>
                <w:szCs w:val="20"/>
              </w:rPr>
              <w:t>Increased trans fatty acid consumption increases total and LDL cholesterol concentrations</w:t>
            </w:r>
            <w:r w:rsidR="008140C0" w:rsidRPr="00AF2396">
              <w:rPr>
                <w:rFonts w:cs="Arial"/>
                <w:color w:val="000000" w:themeColor="text1"/>
                <w:sz w:val="20"/>
                <w:szCs w:val="20"/>
              </w:rPr>
              <w:t xml:space="preserve"> </w:t>
            </w:r>
          </w:p>
        </w:tc>
      </w:tr>
      <w:tr w:rsidR="00314512" w:rsidRPr="00A167FD" w14:paraId="3BFB4834" w14:textId="77777777" w:rsidTr="00AF2396">
        <w:trPr>
          <w:trHeight w:val="561"/>
        </w:trPr>
        <w:tc>
          <w:tcPr>
            <w:tcW w:w="2127" w:type="dxa"/>
            <w:tcBorders>
              <w:top w:val="single" w:sz="4" w:space="0" w:color="A6A6A6" w:themeColor="background1" w:themeShade="A6"/>
              <w:left w:val="single" w:sz="12" w:space="0" w:color="auto"/>
              <w:bottom w:val="single" w:sz="4" w:space="0" w:color="auto"/>
              <w:right w:val="nil"/>
            </w:tcBorders>
            <w:vAlign w:val="center"/>
          </w:tcPr>
          <w:p w14:paraId="3040760C" w14:textId="77777777" w:rsidR="00AF2396" w:rsidRPr="00AF2396" w:rsidRDefault="00314512" w:rsidP="00314512">
            <w:pPr>
              <w:rPr>
                <w:rFonts w:cs="Arial"/>
                <w:b/>
                <w:color w:val="000000" w:themeColor="text1"/>
                <w:sz w:val="20"/>
                <w:szCs w:val="20"/>
              </w:rPr>
            </w:pPr>
            <w:r w:rsidRPr="00AF2396">
              <w:rPr>
                <w:rFonts w:cs="Arial"/>
                <w:b/>
                <w:color w:val="000000" w:themeColor="text1"/>
                <w:sz w:val="20"/>
                <w:szCs w:val="20"/>
              </w:rPr>
              <w:t xml:space="preserve">Degree of certainty </w:t>
            </w:r>
          </w:p>
          <w:p w14:paraId="366DDE0A" w14:textId="33FD84CD" w:rsidR="00314512" w:rsidRPr="00AF2396" w:rsidRDefault="00314512" w:rsidP="00314512">
            <w:pPr>
              <w:rPr>
                <w:rFonts w:cs="Arial"/>
                <w:color w:val="000000" w:themeColor="text1"/>
                <w:sz w:val="16"/>
                <w:szCs w:val="16"/>
              </w:rPr>
            </w:pPr>
            <w:r w:rsidRPr="00AF2396">
              <w:rPr>
                <w:rFonts w:cs="Arial"/>
                <w:color w:val="000000" w:themeColor="text1"/>
                <w:sz w:val="16"/>
                <w:szCs w:val="16"/>
              </w:rPr>
              <w:t>(GRADE rating)</w:t>
            </w:r>
          </w:p>
        </w:tc>
        <w:tc>
          <w:tcPr>
            <w:tcW w:w="7371" w:type="dxa"/>
            <w:tcBorders>
              <w:top w:val="single" w:sz="4" w:space="0" w:color="A6A6A6" w:themeColor="background1" w:themeShade="A6"/>
              <w:left w:val="nil"/>
              <w:bottom w:val="single" w:sz="4" w:space="0" w:color="auto"/>
              <w:right w:val="single" w:sz="12" w:space="0" w:color="auto"/>
            </w:tcBorders>
            <w:vAlign w:val="center"/>
          </w:tcPr>
          <w:p w14:paraId="2FEBF5A8" w14:textId="77777777" w:rsidR="00314512" w:rsidRPr="00AF2396" w:rsidRDefault="00314512" w:rsidP="00314512">
            <w:pPr>
              <w:rPr>
                <w:rFonts w:cs="Arial"/>
                <w:color w:val="000000" w:themeColor="text1"/>
                <w:sz w:val="20"/>
                <w:szCs w:val="20"/>
              </w:rPr>
            </w:pPr>
            <w:r w:rsidRPr="00AF2396">
              <w:rPr>
                <w:rFonts w:cs="Arial"/>
                <w:color w:val="000000" w:themeColor="text1"/>
                <w:sz w:val="20"/>
                <w:szCs w:val="20"/>
              </w:rPr>
              <w:t xml:space="preserve">Total cholesterol:   </w:t>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t xml:space="preserve">  ‘High’</w:t>
            </w:r>
          </w:p>
          <w:p w14:paraId="0A3C0793" w14:textId="77777777" w:rsidR="00314512" w:rsidRPr="00AF2396" w:rsidRDefault="00314512" w:rsidP="00314512">
            <w:pPr>
              <w:rPr>
                <w:rFonts w:cs="Arial"/>
                <w:b/>
                <w:color w:val="000000" w:themeColor="text1"/>
                <w:sz w:val="20"/>
                <w:szCs w:val="20"/>
              </w:rPr>
            </w:pPr>
            <w:r w:rsidRPr="00AF2396">
              <w:rPr>
                <w:rFonts w:cs="Arial"/>
                <w:color w:val="000000" w:themeColor="text1"/>
                <w:sz w:val="20"/>
                <w:szCs w:val="20"/>
              </w:rPr>
              <w:t xml:space="preserve">LDL-cholesterol:    </w:t>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sym w:font="Symbol" w:char="F0C5"/>
            </w:r>
            <w:r w:rsidRPr="00AF2396">
              <w:rPr>
                <w:rFonts w:cs="Arial"/>
                <w:color w:val="000000" w:themeColor="text1"/>
                <w:sz w:val="20"/>
                <w:szCs w:val="20"/>
              </w:rPr>
              <w:t xml:space="preserve">  ‘High’</w:t>
            </w:r>
          </w:p>
        </w:tc>
      </w:tr>
      <w:tr w:rsidR="00314512" w:rsidRPr="00AF2396" w14:paraId="5B5E1747" w14:textId="77777777" w:rsidTr="00AF2396">
        <w:trPr>
          <w:trHeight w:val="577"/>
        </w:trPr>
        <w:tc>
          <w:tcPr>
            <w:tcW w:w="2127" w:type="dxa"/>
            <w:tcBorders>
              <w:top w:val="double" w:sz="4" w:space="0" w:color="auto"/>
              <w:left w:val="single" w:sz="12" w:space="0" w:color="auto"/>
              <w:bottom w:val="nil"/>
              <w:right w:val="nil"/>
            </w:tcBorders>
            <w:vAlign w:val="center"/>
          </w:tcPr>
          <w:p w14:paraId="320DB667" w14:textId="77777777" w:rsidR="00314512" w:rsidRPr="00AF2396" w:rsidRDefault="00314512" w:rsidP="00314512">
            <w:pPr>
              <w:rPr>
                <w:rFonts w:cs="Arial"/>
                <w:b/>
                <w:sz w:val="20"/>
                <w:szCs w:val="20"/>
              </w:rPr>
            </w:pPr>
            <w:r w:rsidRPr="00AF2396">
              <w:rPr>
                <w:rFonts w:cs="Arial"/>
                <w:b/>
                <w:sz w:val="20"/>
                <w:szCs w:val="20"/>
              </w:rPr>
              <w:t>Component</w:t>
            </w:r>
          </w:p>
        </w:tc>
        <w:tc>
          <w:tcPr>
            <w:tcW w:w="7371" w:type="dxa"/>
            <w:tcBorders>
              <w:top w:val="double" w:sz="4" w:space="0" w:color="auto"/>
              <w:left w:val="nil"/>
              <w:bottom w:val="nil"/>
              <w:right w:val="single" w:sz="12" w:space="0" w:color="auto"/>
            </w:tcBorders>
            <w:vAlign w:val="center"/>
          </w:tcPr>
          <w:p w14:paraId="531B5A25" w14:textId="77777777" w:rsidR="00314512" w:rsidRPr="00AF2396" w:rsidRDefault="00314512" w:rsidP="00314512">
            <w:pPr>
              <w:rPr>
                <w:rFonts w:cs="Arial"/>
                <w:b/>
                <w:sz w:val="20"/>
                <w:szCs w:val="20"/>
              </w:rPr>
            </w:pPr>
            <w:r w:rsidRPr="00AF2396">
              <w:rPr>
                <w:rFonts w:cs="Arial"/>
                <w:b/>
                <w:sz w:val="20"/>
                <w:szCs w:val="20"/>
              </w:rPr>
              <w:t>Notes</w:t>
            </w:r>
            <w:r w:rsidRPr="00AF2396">
              <w:rPr>
                <w:rFonts w:cs="Arial"/>
                <w:sz w:val="20"/>
                <w:szCs w:val="20"/>
              </w:rPr>
              <w:t xml:space="preserve"> </w:t>
            </w:r>
          </w:p>
        </w:tc>
      </w:tr>
      <w:tr w:rsidR="00314512" w:rsidRPr="00AF2396" w14:paraId="409551A9" w14:textId="77777777" w:rsidTr="00AF2396">
        <w:trPr>
          <w:trHeight w:val="2132"/>
        </w:trPr>
        <w:tc>
          <w:tcPr>
            <w:tcW w:w="2127" w:type="dxa"/>
            <w:tcBorders>
              <w:top w:val="nil"/>
              <w:left w:val="single" w:sz="12" w:space="0" w:color="auto"/>
              <w:bottom w:val="nil"/>
              <w:right w:val="nil"/>
            </w:tcBorders>
          </w:tcPr>
          <w:p w14:paraId="43AFF6D4" w14:textId="77777777" w:rsidR="00314512" w:rsidRPr="00AF2396" w:rsidRDefault="00314512" w:rsidP="00D66A4F">
            <w:pPr>
              <w:rPr>
                <w:rFonts w:cs="Arial"/>
                <w:b/>
                <w:i/>
                <w:sz w:val="20"/>
                <w:szCs w:val="20"/>
              </w:rPr>
            </w:pPr>
            <w:r w:rsidRPr="00AF2396">
              <w:rPr>
                <w:rFonts w:cs="Arial"/>
                <w:b/>
                <w:i/>
                <w:sz w:val="20"/>
                <w:szCs w:val="20"/>
              </w:rPr>
              <w:t>Body of evidence</w:t>
            </w:r>
          </w:p>
          <w:p w14:paraId="509CFC68" w14:textId="77777777" w:rsidR="00314512" w:rsidRPr="00AF2396" w:rsidRDefault="00314512" w:rsidP="00D66A4F">
            <w:pPr>
              <w:rPr>
                <w:rFonts w:cs="Arial"/>
                <w:b/>
                <w:i/>
                <w:sz w:val="20"/>
                <w:szCs w:val="20"/>
              </w:rPr>
            </w:pPr>
          </w:p>
          <w:p w14:paraId="318BF002" w14:textId="77777777" w:rsidR="00314512" w:rsidRPr="00AF2396" w:rsidRDefault="00314512" w:rsidP="00D66A4F">
            <w:pPr>
              <w:rPr>
                <w:rFonts w:cs="Arial"/>
                <w:b/>
                <w:i/>
                <w:sz w:val="20"/>
                <w:szCs w:val="20"/>
              </w:rPr>
            </w:pPr>
          </w:p>
          <w:p w14:paraId="6083487A" w14:textId="77777777" w:rsidR="00314512" w:rsidRPr="00AF2396" w:rsidRDefault="00314512" w:rsidP="00D66A4F">
            <w:pPr>
              <w:rPr>
                <w:rFonts w:cs="Arial"/>
                <w:b/>
                <w:i/>
                <w:sz w:val="20"/>
                <w:szCs w:val="20"/>
              </w:rPr>
            </w:pPr>
          </w:p>
          <w:p w14:paraId="278062AA" w14:textId="77777777" w:rsidR="00314512" w:rsidRPr="00AF2396" w:rsidRDefault="00314512" w:rsidP="00D66A4F">
            <w:pPr>
              <w:rPr>
                <w:rFonts w:cs="Arial"/>
                <w:b/>
                <w:i/>
                <w:sz w:val="20"/>
                <w:szCs w:val="20"/>
              </w:rPr>
            </w:pPr>
          </w:p>
          <w:p w14:paraId="0355CE48" w14:textId="77777777" w:rsidR="00314512" w:rsidRPr="00AF2396" w:rsidRDefault="00314512" w:rsidP="00D66A4F">
            <w:pPr>
              <w:rPr>
                <w:rFonts w:cs="Arial"/>
                <w:b/>
                <w:i/>
                <w:sz w:val="20"/>
                <w:szCs w:val="20"/>
              </w:rPr>
            </w:pPr>
          </w:p>
          <w:p w14:paraId="2E6A08C2" w14:textId="77777777" w:rsidR="00314512" w:rsidRPr="00AF2396" w:rsidRDefault="00314512" w:rsidP="00D66A4F">
            <w:pPr>
              <w:rPr>
                <w:rFonts w:cs="Arial"/>
                <w:b/>
                <w:i/>
                <w:sz w:val="20"/>
                <w:szCs w:val="20"/>
              </w:rPr>
            </w:pPr>
          </w:p>
          <w:p w14:paraId="34DECBA0" w14:textId="77777777" w:rsidR="00314512" w:rsidRPr="00AF2396" w:rsidRDefault="00314512" w:rsidP="00D66A4F">
            <w:pPr>
              <w:rPr>
                <w:rFonts w:cs="Arial"/>
                <w:b/>
                <w:i/>
                <w:sz w:val="20"/>
                <w:szCs w:val="20"/>
              </w:rPr>
            </w:pPr>
          </w:p>
        </w:tc>
        <w:tc>
          <w:tcPr>
            <w:tcW w:w="7371" w:type="dxa"/>
            <w:tcBorders>
              <w:top w:val="nil"/>
              <w:left w:val="nil"/>
              <w:bottom w:val="nil"/>
              <w:right w:val="single" w:sz="12" w:space="0" w:color="auto"/>
            </w:tcBorders>
          </w:tcPr>
          <w:p w14:paraId="61101227" w14:textId="17D7EFA7" w:rsidR="00314512" w:rsidRPr="00AF2396" w:rsidRDefault="00314512" w:rsidP="00D66A4F">
            <w:pPr>
              <w:rPr>
                <w:rFonts w:cs="Arial"/>
                <w:sz w:val="20"/>
                <w:szCs w:val="20"/>
              </w:rPr>
            </w:pPr>
            <w:r w:rsidRPr="00AF2396">
              <w:rPr>
                <w:rFonts w:cs="Arial"/>
                <w:sz w:val="20"/>
                <w:szCs w:val="20"/>
              </w:rPr>
              <w:t xml:space="preserve">An existing systematic review and meta-analysis of randomised controlled </w:t>
            </w:r>
            <w:r w:rsidR="001307F7" w:rsidRPr="00AF2396">
              <w:rPr>
                <w:rFonts w:cs="Arial"/>
                <w:sz w:val="20"/>
                <w:szCs w:val="20"/>
              </w:rPr>
              <w:t xml:space="preserve">trials (RCTs) </w:t>
            </w:r>
            <w:r w:rsidRPr="00AF2396">
              <w:rPr>
                <w:rFonts w:cs="Arial"/>
                <w:sz w:val="20"/>
                <w:szCs w:val="20"/>
              </w:rPr>
              <w:t>examining LDL</w:t>
            </w:r>
            <w:r w:rsidR="00DB4B9D" w:rsidRPr="00AF2396">
              <w:rPr>
                <w:rFonts w:cs="Arial"/>
                <w:sz w:val="20"/>
                <w:szCs w:val="20"/>
              </w:rPr>
              <w:t>-</w:t>
            </w:r>
            <w:r w:rsidRPr="00AF2396">
              <w:rPr>
                <w:rFonts w:cs="Arial"/>
                <w:sz w:val="20"/>
                <w:szCs w:val="20"/>
              </w:rPr>
              <w:t xml:space="preserve">cholesterol </w:t>
            </w:r>
            <w:r w:rsidR="005B0F31" w:rsidRPr="00AF2396">
              <w:rPr>
                <w:rFonts w:cs="Arial"/>
                <w:sz w:val="20"/>
                <w:szCs w:val="20"/>
              </w:rPr>
              <w:t xml:space="preserve">(LDL-C) </w:t>
            </w:r>
            <w:r w:rsidRPr="00AF2396">
              <w:rPr>
                <w:rFonts w:cs="Arial"/>
                <w:sz w:val="20"/>
                <w:szCs w:val="20"/>
              </w:rPr>
              <w:t xml:space="preserve">concentrations was updated to include 11 relevant studies up to March 2014. Because the existing systematic review covered a wider field than that needed for the current purpose, only the 29 relevant studies (35 data points) were brought forward into the update. The findings are consistent with the previous evidence. The effect on HDL-cholesterol </w:t>
            </w:r>
            <w:r w:rsidR="005B0F31" w:rsidRPr="00AF2396">
              <w:rPr>
                <w:rFonts w:cs="Arial"/>
                <w:sz w:val="20"/>
                <w:szCs w:val="20"/>
              </w:rPr>
              <w:t xml:space="preserve">(HDL-C) </w:t>
            </w:r>
            <w:r w:rsidRPr="00AF2396">
              <w:rPr>
                <w:rFonts w:cs="Arial"/>
                <w:sz w:val="20"/>
                <w:szCs w:val="20"/>
              </w:rPr>
              <w:t xml:space="preserve">was included as it helps to interpret changes in total cholesterol </w:t>
            </w:r>
            <w:r w:rsidR="005B0F31" w:rsidRPr="00AF2396">
              <w:rPr>
                <w:rFonts w:cs="Arial"/>
                <w:sz w:val="20"/>
                <w:szCs w:val="20"/>
              </w:rPr>
              <w:t xml:space="preserve">(total-C) </w:t>
            </w:r>
            <w:r w:rsidRPr="00AF2396">
              <w:rPr>
                <w:rFonts w:cs="Arial"/>
                <w:sz w:val="20"/>
                <w:szCs w:val="20"/>
              </w:rPr>
              <w:t>concentration.</w:t>
            </w:r>
          </w:p>
        </w:tc>
      </w:tr>
      <w:tr w:rsidR="00314512" w:rsidRPr="00AF2396" w14:paraId="7D86CA27" w14:textId="77777777" w:rsidTr="00AF2396">
        <w:trPr>
          <w:trHeight w:val="727"/>
        </w:trPr>
        <w:tc>
          <w:tcPr>
            <w:tcW w:w="2127" w:type="dxa"/>
            <w:tcBorders>
              <w:top w:val="nil"/>
              <w:left w:val="single" w:sz="12" w:space="0" w:color="auto"/>
              <w:bottom w:val="nil"/>
              <w:right w:val="nil"/>
            </w:tcBorders>
          </w:tcPr>
          <w:p w14:paraId="3B6AA506" w14:textId="77777777" w:rsidR="00314512" w:rsidRPr="00AF2396" w:rsidRDefault="00314512" w:rsidP="00D66A4F">
            <w:pPr>
              <w:rPr>
                <w:rFonts w:cs="Arial"/>
                <w:b/>
                <w:i/>
                <w:sz w:val="20"/>
                <w:szCs w:val="20"/>
              </w:rPr>
            </w:pPr>
            <w:r w:rsidRPr="00AF2396">
              <w:rPr>
                <w:rFonts w:cs="Arial"/>
                <w:b/>
                <w:i/>
                <w:sz w:val="20"/>
                <w:szCs w:val="20"/>
              </w:rPr>
              <w:t>Consistency</w:t>
            </w:r>
          </w:p>
          <w:p w14:paraId="0549AEDA" w14:textId="77777777" w:rsidR="00314512" w:rsidRPr="00AF2396" w:rsidRDefault="00314512" w:rsidP="00D66A4F">
            <w:pPr>
              <w:rPr>
                <w:rFonts w:cs="Arial"/>
                <w:b/>
                <w:i/>
                <w:sz w:val="20"/>
                <w:szCs w:val="20"/>
              </w:rPr>
            </w:pPr>
          </w:p>
          <w:p w14:paraId="76C5823C" w14:textId="77777777" w:rsidR="00314512" w:rsidRPr="00AF2396" w:rsidRDefault="00314512" w:rsidP="00D66A4F">
            <w:pPr>
              <w:rPr>
                <w:rFonts w:cs="Arial"/>
                <w:b/>
                <w:i/>
                <w:sz w:val="20"/>
                <w:szCs w:val="20"/>
              </w:rPr>
            </w:pPr>
          </w:p>
          <w:p w14:paraId="12223BF9" w14:textId="77777777" w:rsidR="00314512" w:rsidRPr="00AF2396" w:rsidRDefault="00314512" w:rsidP="00D66A4F">
            <w:pPr>
              <w:rPr>
                <w:rFonts w:cs="Arial"/>
                <w:b/>
                <w:i/>
                <w:sz w:val="20"/>
                <w:szCs w:val="20"/>
              </w:rPr>
            </w:pPr>
          </w:p>
          <w:p w14:paraId="466382D1" w14:textId="77777777" w:rsidR="00314512" w:rsidRPr="00AF2396" w:rsidRDefault="00314512" w:rsidP="00D66A4F">
            <w:pPr>
              <w:rPr>
                <w:rFonts w:cs="Arial"/>
                <w:b/>
                <w:i/>
                <w:sz w:val="20"/>
                <w:szCs w:val="20"/>
              </w:rPr>
            </w:pPr>
          </w:p>
          <w:p w14:paraId="729E7114" w14:textId="77777777" w:rsidR="00314512" w:rsidRPr="00AF2396" w:rsidRDefault="00314512" w:rsidP="00D66A4F">
            <w:pPr>
              <w:rPr>
                <w:rFonts w:cs="Arial"/>
                <w:b/>
                <w:i/>
                <w:sz w:val="20"/>
                <w:szCs w:val="20"/>
              </w:rPr>
            </w:pPr>
          </w:p>
          <w:p w14:paraId="4364EE59" w14:textId="77777777" w:rsidR="00314512" w:rsidRPr="00AF2396" w:rsidRDefault="00314512" w:rsidP="00D66A4F">
            <w:pPr>
              <w:rPr>
                <w:rFonts w:cs="Arial"/>
                <w:b/>
                <w:i/>
                <w:sz w:val="20"/>
                <w:szCs w:val="20"/>
              </w:rPr>
            </w:pPr>
          </w:p>
          <w:p w14:paraId="12189D55" w14:textId="77777777" w:rsidR="00314512" w:rsidRPr="00AF2396" w:rsidRDefault="00314512" w:rsidP="00D66A4F">
            <w:pPr>
              <w:rPr>
                <w:rFonts w:cs="Arial"/>
                <w:b/>
                <w:i/>
                <w:sz w:val="20"/>
                <w:szCs w:val="20"/>
              </w:rPr>
            </w:pPr>
          </w:p>
          <w:p w14:paraId="555886EA" w14:textId="77777777" w:rsidR="00314512" w:rsidRPr="00AF2396" w:rsidRDefault="00314512" w:rsidP="00D66A4F">
            <w:pPr>
              <w:rPr>
                <w:rFonts w:cs="Arial"/>
                <w:b/>
                <w:i/>
                <w:sz w:val="20"/>
                <w:szCs w:val="20"/>
              </w:rPr>
            </w:pPr>
          </w:p>
          <w:p w14:paraId="403CB253" w14:textId="77777777" w:rsidR="00314512" w:rsidRPr="00AF2396" w:rsidRDefault="00314512" w:rsidP="00D66A4F">
            <w:pPr>
              <w:rPr>
                <w:rFonts w:cs="Arial"/>
                <w:b/>
                <w:i/>
                <w:sz w:val="20"/>
                <w:szCs w:val="20"/>
              </w:rPr>
            </w:pPr>
          </w:p>
          <w:p w14:paraId="7391E288" w14:textId="77777777" w:rsidR="00314512" w:rsidRPr="00AF2396" w:rsidRDefault="00314512" w:rsidP="00D66A4F">
            <w:pPr>
              <w:rPr>
                <w:rFonts w:cs="Arial"/>
                <w:b/>
                <w:i/>
                <w:sz w:val="20"/>
                <w:szCs w:val="20"/>
              </w:rPr>
            </w:pPr>
          </w:p>
          <w:p w14:paraId="3EAC6714" w14:textId="77777777" w:rsidR="00314512" w:rsidRPr="00AF2396" w:rsidRDefault="00314512" w:rsidP="00D66A4F">
            <w:pPr>
              <w:rPr>
                <w:rFonts w:cs="Arial"/>
                <w:b/>
                <w:i/>
                <w:sz w:val="20"/>
                <w:szCs w:val="20"/>
              </w:rPr>
            </w:pPr>
          </w:p>
          <w:p w14:paraId="76FB44DA" w14:textId="77777777" w:rsidR="00314512" w:rsidRPr="00AF2396" w:rsidRDefault="00314512" w:rsidP="00D66A4F">
            <w:pPr>
              <w:rPr>
                <w:rFonts w:cs="Arial"/>
                <w:b/>
                <w:i/>
                <w:sz w:val="20"/>
                <w:szCs w:val="20"/>
              </w:rPr>
            </w:pPr>
          </w:p>
        </w:tc>
        <w:tc>
          <w:tcPr>
            <w:tcW w:w="7371" w:type="dxa"/>
            <w:tcBorders>
              <w:top w:val="nil"/>
              <w:left w:val="nil"/>
              <w:bottom w:val="nil"/>
              <w:right w:val="single" w:sz="12" w:space="0" w:color="auto"/>
            </w:tcBorders>
          </w:tcPr>
          <w:p w14:paraId="208D5030" w14:textId="4BBC5536" w:rsidR="00314512" w:rsidRPr="00AF2396" w:rsidRDefault="00314512" w:rsidP="00D66A4F">
            <w:pPr>
              <w:rPr>
                <w:rFonts w:cs="Arial"/>
                <w:sz w:val="20"/>
                <w:szCs w:val="20"/>
              </w:rPr>
            </w:pPr>
            <w:r w:rsidRPr="00AF2396">
              <w:rPr>
                <w:rFonts w:cs="Arial"/>
                <w:sz w:val="20"/>
                <w:szCs w:val="20"/>
              </w:rPr>
              <w:t>The existing review found dose-response relationships for LDL</w:t>
            </w:r>
            <w:r w:rsidR="005B0F31" w:rsidRPr="00AF2396">
              <w:rPr>
                <w:rFonts w:cs="Arial"/>
                <w:sz w:val="20"/>
                <w:szCs w:val="20"/>
              </w:rPr>
              <w:t>-C</w:t>
            </w:r>
            <w:r w:rsidRPr="00AF2396">
              <w:rPr>
                <w:rFonts w:cs="Arial"/>
                <w:sz w:val="20"/>
                <w:szCs w:val="20"/>
              </w:rPr>
              <w:t xml:space="preserve"> and HDL-</w:t>
            </w:r>
            <w:r w:rsidR="005B0F31" w:rsidRPr="00AF2396">
              <w:rPr>
                <w:rFonts w:cs="Arial"/>
                <w:sz w:val="20"/>
                <w:szCs w:val="20"/>
              </w:rPr>
              <w:t>C</w:t>
            </w:r>
            <w:r w:rsidRPr="00AF2396">
              <w:rPr>
                <w:rFonts w:cs="Arial"/>
                <w:sz w:val="20"/>
                <w:szCs w:val="20"/>
              </w:rPr>
              <w:t xml:space="preserve"> concentrations.</w:t>
            </w:r>
            <w:r w:rsidR="00202CF8" w:rsidRPr="00AF2396">
              <w:rPr>
                <w:rFonts w:cs="Arial"/>
                <w:sz w:val="20"/>
                <w:szCs w:val="20"/>
              </w:rPr>
              <w:t xml:space="preserve"> </w:t>
            </w:r>
            <w:r w:rsidRPr="00AF2396">
              <w:rPr>
                <w:rFonts w:cs="Arial"/>
                <w:sz w:val="20"/>
                <w:szCs w:val="20"/>
              </w:rPr>
              <w:t>When the additional studies identified in the update were added, there was a dose-response relationship showing significant increases in total</w:t>
            </w:r>
            <w:r w:rsidR="005B0F31" w:rsidRPr="00AF2396">
              <w:rPr>
                <w:rFonts w:cs="Arial"/>
                <w:sz w:val="20"/>
                <w:szCs w:val="20"/>
              </w:rPr>
              <w:t>-C</w:t>
            </w:r>
            <w:r w:rsidRPr="00AF2396">
              <w:rPr>
                <w:rFonts w:cs="Arial"/>
                <w:sz w:val="20"/>
                <w:szCs w:val="20"/>
              </w:rPr>
              <w:t xml:space="preserve"> and LDL</w:t>
            </w:r>
            <w:r w:rsidR="005B0F31" w:rsidRPr="00AF2396">
              <w:rPr>
                <w:rFonts w:cs="Arial"/>
                <w:sz w:val="20"/>
                <w:szCs w:val="20"/>
              </w:rPr>
              <w:t>-C</w:t>
            </w:r>
            <w:r w:rsidRPr="00AF2396">
              <w:rPr>
                <w:rFonts w:cs="Arial"/>
                <w:sz w:val="20"/>
                <w:szCs w:val="20"/>
              </w:rPr>
              <w:t xml:space="preserve"> </w:t>
            </w:r>
            <w:r w:rsidR="005B0F31" w:rsidRPr="00AF2396">
              <w:rPr>
                <w:rFonts w:cs="Arial"/>
                <w:sz w:val="20"/>
                <w:szCs w:val="20"/>
              </w:rPr>
              <w:t>an</w:t>
            </w:r>
            <w:r w:rsidRPr="00AF2396">
              <w:rPr>
                <w:rFonts w:cs="Arial"/>
                <w:sz w:val="20"/>
                <w:szCs w:val="20"/>
              </w:rPr>
              <w:t>d a significant decrease in HDL</w:t>
            </w:r>
            <w:r w:rsidR="005B0F31" w:rsidRPr="00AF2396">
              <w:rPr>
                <w:rFonts w:cs="Arial"/>
                <w:sz w:val="20"/>
                <w:szCs w:val="20"/>
              </w:rPr>
              <w:t>-C</w:t>
            </w:r>
            <w:r w:rsidRPr="00AF2396">
              <w:rPr>
                <w:rFonts w:cs="Arial"/>
                <w:sz w:val="20"/>
                <w:szCs w:val="20"/>
              </w:rPr>
              <w:t xml:space="preserve"> when cis mono unsaturated fat is replaced with trans fatty acid intake on an </w:t>
            </w:r>
            <w:proofErr w:type="spellStart"/>
            <w:r w:rsidRPr="00AF2396">
              <w:rPr>
                <w:rFonts w:cs="Arial"/>
                <w:sz w:val="20"/>
                <w:szCs w:val="20"/>
              </w:rPr>
              <w:t>isoenergetic</w:t>
            </w:r>
            <w:proofErr w:type="spellEnd"/>
            <w:r w:rsidRPr="00AF2396">
              <w:rPr>
                <w:rFonts w:cs="Arial"/>
                <w:sz w:val="20"/>
                <w:szCs w:val="20"/>
              </w:rPr>
              <w:t xml:space="preserve"> basis in the diet. The results apply to people with normal or elevated blood cholesterol concentrations. The majority of RCTs showed that increased trans fatty acid</w:t>
            </w:r>
            <w:r w:rsidRPr="00AF2396">
              <w:rPr>
                <w:rFonts w:cs="Arial"/>
                <w:color w:val="FF0000"/>
                <w:sz w:val="20"/>
                <w:szCs w:val="20"/>
              </w:rPr>
              <w:t xml:space="preserve"> </w:t>
            </w:r>
            <w:r w:rsidRPr="00AF2396">
              <w:rPr>
                <w:rFonts w:cs="Arial"/>
                <w:sz w:val="20"/>
                <w:szCs w:val="20"/>
              </w:rPr>
              <w:t>consumption increased LDL</w:t>
            </w:r>
            <w:r w:rsidR="005B0F31" w:rsidRPr="00AF2396">
              <w:rPr>
                <w:rFonts w:cs="Arial"/>
                <w:sz w:val="20"/>
                <w:szCs w:val="20"/>
              </w:rPr>
              <w:t>-C</w:t>
            </w:r>
            <w:r w:rsidRPr="00AF2396">
              <w:rPr>
                <w:rFonts w:cs="Arial"/>
                <w:sz w:val="20"/>
                <w:szCs w:val="20"/>
              </w:rPr>
              <w:t xml:space="preserve"> concentrations</w:t>
            </w:r>
            <w:r w:rsidR="00DB4B9D" w:rsidRPr="00AF2396">
              <w:rPr>
                <w:rFonts w:cs="Arial"/>
                <w:sz w:val="20"/>
                <w:szCs w:val="20"/>
              </w:rPr>
              <w:t>,</w:t>
            </w:r>
            <w:r w:rsidRPr="00AF2396">
              <w:rPr>
                <w:rFonts w:cs="Arial"/>
                <w:sz w:val="20"/>
                <w:szCs w:val="20"/>
              </w:rPr>
              <w:t xml:space="preserve"> although this was more evident at higher intakes. Sensitivity analyses did not change the direction of these effects. Effect on total</w:t>
            </w:r>
            <w:r w:rsidR="005B0F31" w:rsidRPr="00AF2396">
              <w:rPr>
                <w:rFonts w:cs="Arial"/>
                <w:sz w:val="20"/>
                <w:szCs w:val="20"/>
              </w:rPr>
              <w:t>-C</w:t>
            </w:r>
            <w:r w:rsidRPr="00AF2396">
              <w:rPr>
                <w:rFonts w:cs="Arial"/>
                <w:sz w:val="20"/>
                <w:szCs w:val="20"/>
              </w:rPr>
              <w:t xml:space="preserve"> concentration was smaller than on LDL</w:t>
            </w:r>
            <w:r w:rsidR="005B0F31" w:rsidRPr="00AF2396">
              <w:rPr>
                <w:rFonts w:cs="Arial"/>
                <w:sz w:val="20"/>
                <w:szCs w:val="20"/>
              </w:rPr>
              <w:t>-C</w:t>
            </w:r>
            <w:r w:rsidRPr="00AF2396">
              <w:rPr>
                <w:rFonts w:cs="Arial"/>
                <w:sz w:val="20"/>
                <w:szCs w:val="20"/>
              </w:rPr>
              <w:t xml:space="preserve"> concentration</w:t>
            </w:r>
            <w:r w:rsidR="00D66A4F" w:rsidRPr="00AF2396">
              <w:rPr>
                <w:rFonts w:cs="Arial"/>
                <w:sz w:val="20"/>
                <w:szCs w:val="20"/>
              </w:rPr>
              <w:t>.  This is consistent</w:t>
            </w:r>
            <w:r w:rsidR="005B0F31" w:rsidRPr="00AF2396">
              <w:rPr>
                <w:rFonts w:cs="Arial"/>
                <w:sz w:val="20"/>
                <w:szCs w:val="20"/>
              </w:rPr>
              <w:t xml:space="preserve"> with the effect on HDL-C</w:t>
            </w:r>
            <w:r w:rsidRPr="00AF2396">
              <w:rPr>
                <w:rFonts w:cs="Arial"/>
                <w:sz w:val="20"/>
                <w:szCs w:val="20"/>
              </w:rPr>
              <w:t xml:space="preserve"> concentration.</w:t>
            </w:r>
          </w:p>
          <w:p w14:paraId="684A17FA" w14:textId="77777777" w:rsidR="00314512" w:rsidRPr="00AF2396" w:rsidRDefault="00314512" w:rsidP="00D66A4F">
            <w:pPr>
              <w:rPr>
                <w:rFonts w:cs="Arial"/>
                <w:sz w:val="20"/>
                <w:szCs w:val="20"/>
              </w:rPr>
            </w:pPr>
          </w:p>
        </w:tc>
      </w:tr>
      <w:tr w:rsidR="00314512" w:rsidRPr="00AF2396" w14:paraId="31947275" w14:textId="77777777" w:rsidTr="00AF2396">
        <w:trPr>
          <w:trHeight w:val="727"/>
        </w:trPr>
        <w:tc>
          <w:tcPr>
            <w:tcW w:w="2127" w:type="dxa"/>
            <w:tcBorders>
              <w:top w:val="nil"/>
              <w:left w:val="single" w:sz="12" w:space="0" w:color="auto"/>
              <w:bottom w:val="nil"/>
              <w:right w:val="nil"/>
            </w:tcBorders>
          </w:tcPr>
          <w:p w14:paraId="37062F6E" w14:textId="77777777" w:rsidR="00314512" w:rsidRPr="00AF2396" w:rsidRDefault="00314512" w:rsidP="00D66A4F">
            <w:pPr>
              <w:rPr>
                <w:rFonts w:cs="Arial"/>
                <w:b/>
                <w:i/>
                <w:sz w:val="20"/>
                <w:szCs w:val="20"/>
              </w:rPr>
            </w:pPr>
            <w:r w:rsidRPr="00AF2396">
              <w:rPr>
                <w:rFonts w:cs="Arial"/>
                <w:b/>
                <w:i/>
                <w:sz w:val="20"/>
                <w:szCs w:val="20"/>
              </w:rPr>
              <w:t>Causality</w:t>
            </w:r>
          </w:p>
          <w:p w14:paraId="03567325" w14:textId="77777777" w:rsidR="00314512" w:rsidRPr="00AF2396" w:rsidRDefault="00314512" w:rsidP="00D66A4F">
            <w:pPr>
              <w:rPr>
                <w:rFonts w:cs="Arial"/>
                <w:b/>
                <w:i/>
                <w:sz w:val="20"/>
                <w:szCs w:val="20"/>
              </w:rPr>
            </w:pPr>
          </w:p>
          <w:p w14:paraId="268C004D" w14:textId="77777777" w:rsidR="00314512" w:rsidRPr="00AF2396" w:rsidRDefault="00314512" w:rsidP="00D66A4F">
            <w:pPr>
              <w:rPr>
                <w:rFonts w:cs="Arial"/>
                <w:b/>
                <w:i/>
                <w:sz w:val="20"/>
                <w:szCs w:val="20"/>
              </w:rPr>
            </w:pPr>
          </w:p>
          <w:p w14:paraId="63F443BE" w14:textId="77777777" w:rsidR="00314512" w:rsidRPr="00AF2396" w:rsidRDefault="00314512" w:rsidP="00D66A4F">
            <w:pPr>
              <w:rPr>
                <w:rFonts w:cs="Arial"/>
                <w:b/>
                <w:i/>
                <w:sz w:val="20"/>
                <w:szCs w:val="20"/>
              </w:rPr>
            </w:pPr>
          </w:p>
          <w:p w14:paraId="2CD7AB96" w14:textId="77777777" w:rsidR="00314512" w:rsidRPr="00AF2396" w:rsidRDefault="00314512" w:rsidP="00D66A4F">
            <w:pPr>
              <w:rPr>
                <w:rFonts w:cs="Arial"/>
                <w:b/>
                <w:i/>
                <w:sz w:val="20"/>
                <w:szCs w:val="20"/>
              </w:rPr>
            </w:pPr>
          </w:p>
          <w:p w14:paraId="68DE71FB" w14:textId="77777777" w:rsidR="00314512" w:rsidRPr="00AF2396" w:rsidRDefault="00314512" w:rsidP="00D66A4F">
            <w:pPr>
              <w:rPr>
                <w:rFonts w:cs="Arial"/>
                <w:b/>
                <w:i/>
                <w:sz w:val="20"/>
                <w:szCs w:val="20"/>
              </w:rPr>
            </w:pPr>
          </w:p>
          <w:p w14:paraId="38C797E1" w14:textId="77777777" w:rsidR="00314512" w:rsidRPr="00AF2396" w:rsidRDefault="00314512" w:rsidP="00D66A4F">
            <w:pPr>
              <w:rPr>
                <w:rFonts w:cs="Arial"/>
                <w:b/>
                <w:i/>
                <w:sz w:val="20"/>
                <w:szCs w:val="20"/>
              </w:rPr>
            </w:pPr>
          </w:p>
          <w:p w14:paraId="5C1A6994" w14:textId="77777777" w:rsidR="00314512" w:rsidRPr="00AF2396" w:rsidRDefault="00314512" w:rsidP="00D66A4F">
            <w:pPr>
              <w:rPr>
                <w:rFonts w:cs="Arial"/>
                <w:b/>
                <w:i/>
                <w:sz w:val="20"/>
                <w:szCs w:val="20"/>
              </w:rPr>
            </w:pPr>
          </w:p>
        </w:tc>
        <w:tc>
          <w:tcPr>
            <w:tcW w:w="7371" w:type="dxa"/>
            <w:tcBorders>
              <w:top w:val="nil"/>
              <w:left w:val="nil"/>
              <w:bottom w:val="nil"/>
              <w:right w:val="single" w:sz="12" w:space="0" w:color="auto"/>
            </w:tcBorders>
          </w:tcPr>
          <w:p w14:paraId="7C51409B" w14:textId="079EC700" w:rsidR="00314512" w:rsidRPr="00AF2396" w:rsidRDefault="00314512" w:rsidP="00D66A4F">
            <w:pPr>
              <w:rPr>
                <w:rFonts w:cs="Arial"/>
                <w:sz w:val="20"/>
                <w:szCs w:val="20"/>
              </w:rPr>
            </w:pPr>
            <w:r w:rsidRPr="00AF2396">
              <w:rPr>
                <w:rFonts w:cs="Arial"/>
                <w:sz w:val="20"/>
                <w:szCs w:val="20"/>
              </w:rPr>
              <w:t>RCTs provide a strong study design for causal evidence. The existing review found dose-response relationships for LDL</w:t>
            </w:r>
            <w:r w:rsidR="005B0F31" w:rsidRPr="00AF2396">
              <w:rPr>
                <w:rFonts w:cs="Arial"/>
                <w:sz w:val="20"/>
                <w:szCs w:val="20"/>
              </w:rPr>
              <w:t xml:space="preserve">-C </w:t>
            </w:r>
            <w:r w:rsidRPr="00AF2396">
              <w:rPr>
                <w:rFonts w:cs="Arial"/>
                <w:sz w:val="20"/>
                <w:szCs w:val="20"/>
              </w:rPr>
              <w:t>and HDL-</w:t>
            </w:r>
            <w:r w:rsidR="005B0F31" w:rsidRPr="00AF2396">
              <w:rPr>
                <w:rFonts w:cs="Arial"/>
                <w:sz w:val="20"/>
                <w:szCs w:val="20"/>
              </w:rPr>
              <w:t>C</w:t>
            </w:r>
            <w:r w:rsidRPr="00AF2396">
              <w:rPr>
                <w:rFonts w:cs="Arial"/>
                <w:sz w:val="20"/>
                <w:szCs w:val="20"/>
              </w:rPr>
              <w:t xml:space="preserve"> concentrations. Some studies in the review used high </w:t>
            </w:r>
            <w:r w:rsidRPr="00AF2396">
              <w:rPr>
                <w:rFonts w:cs="Arial"/>
                <w:sz w:val="20"/>
                <w:szCs w:val="20"/>
                <w:lang w:val="en"/>
              </w:rPr>
              <w:t xml:space="preserve">intakes not realistically attainable within a normal diet. </w:t>
            </w:r>
            <w:r w:rsidRPr="00AF2396">
              <w:rPr>
                <w:rFonts w:cs="Arial"/>
                <w:sz w:val="20"/>
                <w:szCs w:val="20"/>
              </w:rPr>
              <w:t xml:space="preserve">More recent studies, which were generally of high or adequate quality cluster around low intakes which limited the ability of this review to consider the dose response relationship for potential threshold levels or nonlinearity. </w:t>
            </w:r>
          </w:p>
          <w:p w14:paraId="54288573" w14:textId="77777777" w:rsidR="00314512" w:rsidRPr="00AF2396" w:rsidRDefault="00314512" w:rsidP="00D66A4F">
            <w:pPr>
              <w:rPr>
                <w:rFonts w:cs="Arial"/>
                <w:sz w:val="20"/>
                <w:szCs w:val="20"/>
              </w:rPr>
            </w:pPr>
          </w:p>
        </w:tc>
      </w:tr>
      <w:tr w:rsidR="00314512" w:rsidRPr="00AF2396" w14:paraId="2F7472F1" w14:textId="77777777" w:rsidTr="00AF2396">
        <w:trPr>
          <w:trHeight w:val="727"/>
        </w:trPr>
        <w:tc>
          <w:tcPr>
            <w:tcW w:w="2127" w:type="dxa"/>
            <w:tcBorders>
              <w:top w:val="nil"/>
              <w:left w:val="single" w:sz="12" w:space="0" w:color="auto"/>
              <w:bottom w:val="nil"/>
              <w:right w:val="nil"/>
            </w:tcBorders>
          </w:tcPr>
          <w:p w14:paraId="26F7B8A3" w14:textId="77777777" w:rsidR="00314512" w:rsidRPr="00AF2396" w:rsidRDefault="00314512" w:rsidP="00D66A4F">
            <w:pPr>
              <w:rPr>
                <w:rFonts w:cs="Arial"/>
                <w:b/>
                <w:i/>
                <w:sz w:val="20"/>
                <w:szCs w:val="20"/>
              </w:rPr>
            </w:pPr>
            <w:r w:rsidRPr="00AF2396">
              <w:rPr>
                <w:rFonts w:cs="Arial"/>
                <w:b/>
                <w:i/>
                <w:sz w:val="20"/>
                <w:szCs w:val="20"/>
              </w:rPr>
              <w:t>Plausibility</w:t>
            </w:r>
          </w:p>
          <w:p w14:paraId="08731FA8" w14:textId="77777777" w:rsidR="00314512" w:rsidRPr="00AF2396" w:rsidRDefault="00314512" w:rsidP="00D66A4F">
            <w:pPr>
              <w:rPr>
                <w:rFonts w:cs="Arial"/>
                <w:b/>
                <w:i/>
                <w:sz w:val="20"/>
                <w:szCs w:val="20"/>
              </w:rPr>
            </w:pPr>
          </w:p>
          <w:p w14:paraId="43922CB9" w14:textId="77777777" w:rsidR="00314512" w:rsidRPr="00AF2396" w:rsidRDefault="00314512" w:rsidP="00D66A4F">
            <w:pPr>
              <w:rPr>
                <w:rFonts w:cs="Arial"/>
                <w:b/>
                <w:i/>
                <w:sz w:val="20"/>
                <w:szCs w:val="20"/>
              </w:rPr>
            </w:pPr>
          </w:p>
          <w:p w14:paraId="59CA93FD" w14:textId="77777777" w:rsidR="00314512" w:rsidRPr="00AF2396" w:rsidRDefault="00314512" w:rsidP="00D66A4F">
            <w:pPr>
              <w:rPr>
                <w:rFonts w:cs="Arial"/>
                <w:b/>
                <w:i/>
                <w:sz w:val="20"/>
                <w:szCs w:val="20"/>
              </w:rPr>
            </w:pPr>
          </w:p>
          <w:p w14:paraId="4B9C487F" w14:textId="77777777" w:rsidR="00314512" w:rsidRPr="00AF2396" w:rsidRDefault="00314512" w:rsidP="00D66A4F">
            <w:pPr>
              <w:rPr>
                <w:rFonts w:cs="Arial"/>
                <w:b/>
                <w:i/>
                <w:sz w:val="20"/>
                <w:szCs w:val="20"/>
              </w:rPr>
            </w:pPr>
          </w:p>
          <w:p w14:paraId="45960614" w14:textId="77777777" w:rsidR="00314512" w:rsidRPr="00AF2396" w:rsidRDefault="00314512" w:rsidP="00D66A4F">
            <w:pPr>
              <w:rPr>
                <w:rFonts w:cs="Arial"/>
                <w:b/>
                <w:i/>
                <w:sz w:val="20"/>
                <w:szCs w:val="20"/>
              </w:rPr>
            </w:pPr>
          </w:p>
        </w:tc>
        <w:tc>
          <w:tcPr>
            <w:tcW w:w="7371" w:type="dxa"/>
            <w:tcBorders>
              <w:top w:val="nil"/>
              <w:left w:val="nil"/>
              <w:bottom w:val="nil"/>
              <w:right w:val="single" w:sz="12" w:space="0" w:color="auto"/>
            </w:tcBorders>
          </w:tcPr>
          <w:p w14:paraId="27741438" w14:textId="13B04206" w:rsidR="00314512" w:rsidRPr="00AF2396" w:rsidRDefault="00314512" w:rsidP="00D66A4F">
            <w:pPr>
              <w:rPr>
                <w:rFonts w:cs="Arial"/>
                <w:sz w:val="20"/>
                <w:szCs w:val="20"/>
              </w:rPr>
            </w:pPr>
            <w:r w:rsidRPr="00AF2396">
              <w:rPr>
                <w:rFonts w:cs="Arial"/>
                <w:sz w:val="20"/>
                <w:szCs w:val="20"/>
                <w:lang w:val="en"/>
              </w:rPr>
              <w:t xml:space="preserve">The mechanisms </w:t>
            </w:r>
            <w:r w:rsidR="00DB4B9D" w:rsidRPr="00AF2396">
              <w:rPr>
                <w:rFonts w:cs="Arial"/>
                <w:sz w:val="20"/>
                <w:szCs w:val="20"/>
                <w:lang w:val="en"/>
              </w:rPr>
              <w:t xml:space="preserve">by which </w:t>
            </w:r>
            <w:r w:rsidRPr="00AF2396">
              <w:rPr>
                <w:rFonts w:cs="Arial"/>
                <w:sz w:val="20"/>
                <w:szCs w:val="20"/>
                <w:lang w:val="en"/>
              </w:rPr>
              <w:t xml:space="preserve">trans fatty acids contribute to changes in blood lipid profiles remain uncertain. Several potential mechanisms exist, including </w:t>
            </w:r>
            <w:r w:rsidRPr="00AF2396">
              <w:rPr>
                <w:rFonts w:cs="Arial"/>
                <w:sz w:val="20"/>
                <w:szCs w:val="20"/>
              </w:rPr>
              <w:t>increased plasma activity of cholesteryl ester transfer protein enzyme which has been proposed to be the driver of increased LDL</w:t>
            </w:r>
            <w:r w:rsidR="005B0F31" w:rsidRPr="00AF2396">
              <w:rPr>
                <w:rFonts w:cs="Arial"/>
                <w:sz w:val="20"/>
                <w:szCs w:val="20"/>
              </w:rPr>
              <w:t>-C</w:t>
            </w:r>
            <w:r w:rsidRPr="00AF2396">
              <w:rPr>
                <w:rFonts w:cs="Arial"/>
                <w:sz w:val="20"/>
                <w:szCs w:val="20"/>
              </w:rPr>
              <w:t xml:space="preserve"> concentrations.</w:t>
            </w:r>
            <w:r w:rsidRPr="00AF2396">
              <w:rPr>
                <w:rFonts w:cs="Arial"/>
                <w:sz w:val="20"/>
                <w:szCs w:val="20"/>
                <w:lang w:val="en"/>
              </w:rPr>
              <w:t xml:space="preserve"> </w:t>
            </w:r>
          </w:p>
          <w:p w14:paraId="2B3871DA" w14:textId="77777777" w:rsidR="00314512" w:rsidRPr="00AF2396" w:rsidRDefault="00314512" w:rsidP="00D66A4F">
            <w:pPr>
              <w:rPr>
                <w:rFonts w:cs="Arial"/>
                <w:sz w:val="20"/>
                <w:szCs w:val="20"/>
              </w:rPr>
            </w:pPr>
          </w:p>
        </w:tc>
      </w:tr>
      <w:tr w:rsidR="00314512" w:rsidRPr="00AF2396" w14:paraId="7F1AADFB" w14:textId="77777777" w:rsidTr="00AF2396">
        <w:trPr>
          <w:trHeight w:val="727"/>
        </w:trPr>
        <w:tc>
          <w:tcPr>
            <w:tcW w:w="2127" w:type="dxa"/>
            <w:tcBorders>
              <w:top w:val="nil"/>
              <w:left w:val="single" w:sz="12" w:space="0" w:color="auto"/>
              <w:bottom w:val="single" w:sz="12" w:space="0" w:color="auto"/>
              <w:right w:val="nil"/>
            </w:tcBorders>
          </w:tcPr>
          <w:p w14:paraId="216A4A9D" w14:textId="77777777" w:rsidR="00314512" w:rsidRPr="00AF2396" w:rsidRDefault="00314512" w:rsidP="00D66A4F">
            <w:pPr>
              <w:rPr>
                <w:rFonts w:cs="Arial"/>
                <w:b/>
                <w:i/>
                <w:sz w:val="20"/>
                <w:szCs w:val="20"/>
              </w:rPr>
            </w:pPr>
            <w:r w:rsidRPr="00AF2396">
              <w:rPr>
                <w:rFonts w:cs="Arial"/>
                <w:b/>
                <w:i/>
                <w:sz w:val="20"/>
                <w:szCs w:val="20"/>
              </w:rPr>
              <w:t>Generalisability</w:t>
            </w:r>
          </w:p>
          <w:p w14:paraId="05BD3252" w14:textId="77777777" w:rsidR="00314512" w:rsidRPr="00AF2396" w:rsidRDefault="00314512" w:rsidP="00D66A4F">
            <w:pPr>
              <w:rPr>
                <w:rFonts w:cs="Arial"/>
                <w:b/>
                <w:i/>
                <w:sz w:val="20"/>
                <w:szCs w:val="20"/>
              </w:rPr>
            </w:pPr>
          </w:p>
          <w:p w14:paraId="464019A1" w14:textId="77777777" w:rsidR="00314512" w:rsidRPr="00AF2396" w:rsidRDefault="00314512" w:rsidP="00D66A4F">
            <w:pPr>
              <w:rPr>
                <w:rFonts w:cs="Arial"/>
                <w:b/>
                <w:i/>
                <w:sz w:val="20"/>
                <w:szCs w:val="20"/>
              </w:rPr>
            </w:pPr>
          </w:p>
          <w:p w14:paraId="242404EA" w14:textId="77777777" w:rsidR="00314512" w:rsidRPr="00AF2396" w:rsidRDefault="00314512" w:rsidP="00D66A4F">
            <w:pPr>
              <w:rPr>
                <w:rFonts w:cs="Arial"/>
                <w:b/>
                <w:i/>
                <w:sz w:val="20"/>
                <w:szCs w:val="20"/>
              </w:rPr>
            </w:pPr>
          </w:p>
          <w:p w14:paraId="14DD4D2B" w14:textId="77777777" w:rsidR="00314512" w:rsidRPr="00AF2396" w:rsidRDefault="00314512" w:rsidP="00D66A4F">
            <w:pPr>
              <w:rPr>
                <w:rFonts w:cs="Arial"/>
                <w:b/>
                <w:i/>
                <w:sz w:val="20"/>
                <w:szCs w:val="20"/>
              </w:rPr>
            </w:pPr>
          </w:p>
          <w:p w14:paraId="08E61B07" w14:textId="77777777" w:rsidR="00314512" w:rsidRPr="00AF2396" w:rsidRDefault="00314512" w:rsidP="00D66A4F">
            <w:pPr>
              <w:rPr>
                <w:rFonts w:cs="Arial"/>
                <w:b/>
                <w:i/>
                <w:sz w:val="20"/>
                <w:szCs w:val="20"/>
              </w:rPr>
            </w:pPr>
          </w:p>
        </w:tc>
        <w:tc>
          <w:tcPr>
            <w:tcW w:w="7371" w:type="dxa"/>
            <w:tcBorders>
              <w:top w:val="nil"/>
              <w:left w:val="nil"/>
              <w:bottom w:val="single" w:sz="12" w:space="0" w:color="auto"/>
              <w:right w:val="single" w:sz="12" w:space="0" w:color="auto"/>
            </w:tcBorders>
          </w:tcPr>
          <w:p w14:paraId="7EA79C0D" w14:textId="7B962C95" w:rsidR="00314512" w:rsidRPr="00AF2396" w:rsidRDefault="00314512" w:rsidP="00D66A4F">
            <w:pPr>
              <w:rPr>
                <w:rFonts w:cs="Arial"/>
                <w:sz w:val="20"/>
                <w:szCs w:val="20"/>
              </w:rPr>
            </w:pPr>
            <w:r w:rsidRPr="00AF2396">
              <w:rPr>
                <w:rFonts w:cs="Arial"/>
                <w:sz w:val="20"/>
                <w:szCs w:val="20"/>
              </w:rPr>
              <w:t>One study was conducted in Australia and most of the remainder were conducted in Europe or North America. Populations covered by the reviewed studies covered a wide range of ages and included people with both normal and elevated blood cholesterol concentrations</w:t>
            </w:r>
            <w:r w:rsidR="00202CF8" w:rsidRPr="00AF2396">
              <w:rPr>
                <w:rFonts w:cs="Arial"/>
                <w:sz w:val="20"/>
                <w:szCs w:val="20"/>
              </w:rPr>
              <w:t xml:space="preserve">. </w:t>
            </w:r>
            <w:r w:rsidRPr="00AF2396">
              <w:rPr>
                <w:rFonts w:cs="Arial"/>
                <w:sz w:val="20"/>
                <w:szCs w:val="20"/>
              </w:rPr>
              <w:t>The results apply to healthy adults with normal cholesterol concentrations but cannot be generalised to children.</w:t>
            </w:r>
          </w:p>
        </w:tc>
      </w:tr>
    </w:tbl>
    <w:p w14:paraId="3D9181C7" w14:textId="77777777" w:rsidR="00314512" w:rsidRPr="00E75BE9" w:rsidRDefault="00314512" w:rsidP="00314512">
      <w:pPr>
        <w:rPr>
          <w:lang w:val="en-AU"/>
        </w:rPr>
      </w:pPr>
    </w:p>
    <w:p w14:paraId="1C7CD41D" w14:textId="77777777" w:rsidR="00F5391A" w:rsidRDefault="00F5391A">
      <w:pPr>
        <w:rPr>
          <w:lang w:val="en-AU"/>
        </w:rPr>
      </w:pPr>
      <w:r>
        <w:rPr>
          <w:lang w:val="en-AU"/>
        </w:rPr>
        <w:br w:type="page"/>
      </w:r>
    </w:p>
    <w:p w14:paraId="122C720F" w14:textId="56D3F578" w:rsidR="00314512" w:rsidRPr="00E75BE9" w:rsidRDefault="00314512" w:rsidP="00314512">
      <w:pPr>
        <w:rPr>
          <w:lang w:val="en-AU"/>
        </w:rPr>
      </w:pPr>
      <w:r w:rsidRPr="00E75BE9">
        <w:rPr>
          <w:lang w:val="en-AU"/>
        </w:rPr>
        <w:lastRenderedPageBreak/>
        <w:t xml:space="preserve">FSANZ commissioned </w:t>
      </w:r>
      <w:r w:rsidR="001307F7">
        <w:rPr>
          <w:lang w:val="en-AU"/>
        </w:rPr>
        <w:t xml:space="preserve">a </w:t>
      </w:r>
      <w:r w:rsidR="00C666A0" w:rsidRPr="00E75BE9">
        <w:rPr>
          <w:lang w:val="en-AU"/>
        </w:rPr>
        <w:t>report that included</w:t>
      </w:r>
      <w:r w:rsidRPr="00E75BE9">
        <w:rPr>
          <w:lang w:val="en-AU"/>
        </w:rPr>
        <w:t xml:space="preserve"> </w:t>
      </w:r>
      <w:r w:rsidR="001307F7">
        <w:rPr>
          <w:lang w:val="en-AU"/>
        </w:rPr>
        <w:t xml:space="preserve">a </w:t>
      </w:r>
      <w:r w:rsidRPr="00E75BE9">
        <w:rPr>
          <w:lang w:val="en-AU"/>
        </w:rPr>
        <w:t>systematic review o</w:t>
      </w:r>
      <w:r w:rsidR="00F6334A" w:rsidRPr="00E75BE9">
        <w:rPr>
          <w:lang w:val="en-AU"/>
        </w:rPr>
        <w:t>f the relationship between</w:t>
      </w:r>
      <w:r w:rsidRPr="00E75BE9">
        <w:rPr>
          <w:lang w:val="en-AU"/>
        </w:rPr>
        <w:t xml:space="preserve"> </w:t>
      </w:r>
      <w:proofErr w:type="gramStart"/>
      <w:r w:rsidRPr="00E75BE9">
        <w:rPr>
          <w:lang w:val="en-AU"/>
        </w:rPr>
        <w:t>trans</w:t>
      </w:r>
      <w:proofErr w:type="gramEnd"/>
      <w:r w:rsidRPr="00E75BE9">
        <w:rPr>
          <w:lang w:val="en-AU"/>
        </w:rPr>
        <w:t xml:space="preserve"> fatty acid (TFA) consumption and blood total</w:t>
      </w:r>
      <w:r w:rsidR="001307F7">
        <w:rPr>
          <w:lang w:val="en-AU"/>
        </w:rPr>
        <w:t>-C</w:t>
      </w:r>
      <w:r w:rsidRPr="00E75BE9">
        <w:rPr>
          <w:lang w:val="en-AU"/>
        </w:rPr>
        <w:t>, LDL</w:t>
      </w:r>
      <w:r w:rsidR="005B0F31">
        <w:rPr>
          <w:lang w:val="en-AU"/>
        </w:rPr>
        <w:t>-C</w:t>
      </w:r>
      <w:r w:rsidRPr="00E75BE9">
        <w:rPr>
          <w:lang w:val="en-AU"/>
        </w:rPr>
        <w:t xml:space="preserve"> and HDL</w:t>
      </w:r>
      <w:r w:rsidR="005B0F31">
        <w:rPr>
          <w:lang w:val="en-AU"/>
        </w:rPr>
        <w:t>-C</w:t>
      </w:r>
      <w:r w:rsidRPr="00E75BE9">
        <w:rPr>
          <w:lang w:val="en-AU"/>
        </w:rPr>
        <w:t xml:space="preserve"> concentrations (</w:t>
      </w:r>
      <w:proofErr w:type="spellStart"/>
      <w:r w:rsidRPr="00E75BE9">
        <w:rPr>
          <w:lang w:val="en-AU"/>
        </w:rPr>
        <w:t>Hafekost</w:t>
      </w:r>
      <w:proofErr w:type="spellEnd"/>
      <w:r w:rsidRPr="00E75BE9">
        <w:rPr>
          <w:lang w:val="en-AU"/>
        </w:rPr>
        <w:t xml:space="preserve"> et al. 2014). This review updated an existing systematic review by </w:t>
      </w:r>
      <w:proofErr w:type="spellStart"/>
      <w:r w:rsidRPr="00E75BE9">
        <w:rPr>
          <w:lang w:val="en-AU"/>
        </w:rPr>
        <w:t>Brouwer</w:t>
      </w:r>
      <w:proofErr w:type="spellEnd"/>
      <w:r w:rsidRPr="00E75BE9">
        <w:rPr>
          <w:lang w:val="en-AU"/>
        </w:rPr>
        <w:t xml:space="preserve"> et al. (2010) following the requirements of Schedule 6 – Required elements of a systematic review </w:t>
      </w:r>
      <w:r w:rsidR="000B2D9F">
        <w:rPr>
          <w:lang w:val="en-AU"/>
        </w:rPr>
        <w:t>in</w:t>
      </w:r>
      <w:r w:rsidR="000B2D9F" w:rsidRPr="00E75BE9">
        <w:rPr>
          <w:lang w:val="en-AU"/>
        </w:rPr>
        <w:t xml:space="preserve"> </w:t>
      </w:r>
      <w:r w:rsidRPr="00E75BE9">
        <w:rPr>
          <w:lang w:val="en-AU"/>
        </w:rPr>
        <w:t xml:space="preserve">the </w:t>
      </w:r>
      <w:r w:rsidRPr="00E75BE9">
        <w:rPr>
          <w:i/>
          <w:lang w:val="en-AU"/>
        </w:rPr>
        <w:t>Australia New Zealand Food Standards Code</w:t>
      </w:r>
      <w:r w:rsidRPr="00E75BE9">
        <w:rPr>
          <w:lang w:val="en-AU"/>
        </w:rPr>
        <w:t xml:space="preserve">. </w:t>
      </w:r>
    </w:p>
    <w:p w14:paraId="4E2056DB" w14:textId="77777777" w:rsidR="00314512" w:rsidRDefault="00314512" w:rsidP="00314512">
      <w:pPr>
        <w:rPr>
          <w:rFonts w:cs="Arial"/>
        </w:rPr>
      </w:pPr>
    </w:p>
    <w:p w14:paraId="49B0EC3F" w14:textId="281DA936" w:rsidR="00314512" w:rsidRDefault="00314512" w:rsidP="00314512">
      <w:r>
        <w:t>The updated review described that replacing cis mono unsaturated fatty acids with TFA increased LDL</w:t>
      </w:r>
      <w:r w:rsidR="005B0F31">
        <w:t>-C</w:t>
      </w:r>
      <w:r>
        <w:t xml:space="preserve"> concentrations significantly. HDL</w:t>
      </w:r>
      <w:r w:rsidR="005B0F31">
        <w:t>-C</w:t>
      </w:r>
      <w:r>
        <w:t xml:space="preserve"> was examined because this also affects the d</w:t>
      </w:r>
      <w:r w:rsidR="005B0F31">
        <w:t>irection of any change in total-C</w:t>
      </w:r>
      <w:r>
        <w:t xml:space="preserve"> </w:t>
      </w:r>
      <w:r w:rsidR="005B0F31">
        <w:t xml:space="preserve">concentration </w:t>
      </w:r>
      <w:r>
        <w:t xml:space="preserve">and so would affect the interpretation of changes in </w:t>
      </w:r>
      <w:r w:rsidR="005B0F31">
        <w:t>LDL-C concentrations</w:t>
      </w:r>
      <w:r>
        <w:t>. There was also a non-significant reduction (i.e. an undesirable direction of effect) in HDL</w:t>
      </w:r>
      <w:r w:rsidR="005B0F31">
        <w:t>-C</w:t>
      </w:r>
      <w:r>
        <w:t xml:space="preserve"> concentrations (</w:t>
      </w:r>
      <w:proofErr w:type="spellStart"/>
      <w:r>
        <w:t>Hafekost</w:t>
      </w:r>
      <w:proofErr w:type="spellEnd"/>
      <w:r>
        <w:t xml:space="preserve"> et al. 2014).</w:t>
      </w:r>
      <w:r w:rsidR="005B0F31">
        <w:t xml:space="preserve"> Consequently, changes in total-C</w:t>
      </w:r>
      <w:r>
        <w:t xml:space="preserve"> might</w:t>
      </w:r>
      <w:r w:rsidR="005B0F31">
        <w:t xml:space="preserve"> be smaller than changes in LDL-C</w:t>
      </w:r>
      <w:r>
        <w:t xml:space="preserve">, but still reflect an overall undesirable change.  </w:t>
      </w:r>
    </w:p>
    <w:p w14:paraId="2363FAD0" w14:textId="77777777" w:rsidR="00314512" w:rsidRDefault="00314512" w:rsidP="00314512"/>
    <w:p w14:paraId="4D99D3CE" w14:textId="7B9F6479" w:rsidR="00314512" w:rsidRDefault="00314512" w:rsidP="00314512">
      <w:pPr>
        <w:rPr>
          <w:rFonts w:cs="Arial"/>
        </w:rPr>
      </w:pPr>
      <w:r>
        <w:rPr>
          <w:rFonts w:cs="Arial"/>
        </w:rPr>
        <w:t>The existing review (</w:t>
      </w:r>
      <w:proofErr w:type="spellStart"/>
      <w:r>
        <w:rPr>
          <w:rFonts w:cs="Arial"/>
        </w:rPr>
        <w:t>Brouwer</w:t>
      </w:r>
      <w:proofErr w:type="spellEnd"/>
      <w:r>
        <w:rPr>
          <w:rFonts w:cs="Arial"/>
        </w:rPr>
        <w:t xml:space="preserve"> et al. 2010) examined LDL-C and HDL-C but did not specifically examine total-C or provide much information about whether baseline cholesterol concentration had an important effect on the results. </w:t>
      </w:r>
      <w:proofErr w:type="spellStart"/>
      <w:r>
        <w:rPr>
          <w:rFonts w:cs="Arial"/>
        </w:rPr>
        <w:t>Hafekost</w:t>
      </w:r>
      <w:proofErr w:type="spellEnd"/>
      <w:r>
        <w:rPr>
          <w:rFonts w:cs="Arial"/>
        </w:rPr>
        <w:t xml:space="preserve"> </w:t>
      </w:r>
      <w:r w:rsidR="00433834">
        <w:rPr>
          <w:rFonts w:cs="Arial"/>
        </w:rPr>
        <w:t>et al.</w:t>
      </w:r>
      <w:r w:rsidR="005B0F31">
        <w:rPr>
          <w:rFonts w:cs="Arial"/>
        </w:rPr>
        <w:t xml:space="preserve"> </w:t>
      </w:r>
      <w:r>
        <w:rPr>
          <w:rFonts w:cs="Arial"/>
        </w:rPr>
        <w:t>(2014) described the results of newly identified studies on total</w:t>
      </w:r>
      <w:r w:rsidR="005B0F31">
        <w:rPr>
          <w:rFonts w:cs="Arial"/>
        </w:rPr>
        <w:t>-C</w:t>
      </w:r>
      <w:r>
        <w:rPr>
          <w:rFonts w:cs="Arial"/>
        </w:rPr>
        <w:t xml:space="preserve"> concentrations but did not combine this information with that from earlier studies. Therefore additional work, described below, assesses whether the trials included in the existing review also supported a relationship for total</w:t>
      </w:r>
      <w:r w:rsidR="005B0F31">
        <w:rPr>
          <w:rFonts w:cs="Arial"/>
        </w:rPr>
        <w:t>-C</w:t>
      </w:r>
      <w:r>
        <w:rPr>
          <w:rFonts w:cs="Arial"/>
        </w:rPr>
        <w:t xml:space="preserve"> concentration, and whether relationships varied by baseline cholesterol status of study participants.</w:t>
      </w:r>
      <w:r w:rsidR="00202CF8">
        <w:rPr>
          <w:rFonts w:cs="Arial"/>
        </w:rPr>
        <w:t xml:space="preserve"> </w:t>
      </w:r>
      <w:r w:rsidR="00F6334A">
        <w:rPr>
          <w:rFonts w:cs="Arial"/>
        </w:rPr>
        <w:t xml:space="preserve">FSANZ concludes that there is a ‘High’ degree of certainty that </w:t>
      </w:r>
      <w:r w:rsidR="005B0F31">
        <w:rPr>
          <w:rFonts w:cs="Arial"/>
        </w:rPr>
        <w:t>increasing</w:t>
      </w:r>
      <w:r w:rsidR="00F6334A">
        <w:rPr>
          <w:rFonts w:cs="Arial"/>
        </w:rPr>
        <w:t xml:space="preserve"> intake of </w:t>
      </w:r>
      <w:proofErr w:type="gramStart"/>
      <w:r w:rsidR="00F6334A">
        <w:rPr>
          <w:rFonts w:cs="Arial"/>
        </w:rPr>
        <w:t>trans</w:t>
      </w:r>
      <w:proofErr w:type="gramEnd"/>
      <w:r w:rsidR="00F6334A">
        <w:rPr>
          <w:rFonts w:cs="Arial"/>
        </w:rPr>
        <w:t xml:space="preserve"> fatty acids </w:t>
      </w:r>
      <w:r w:rsidR="005B0F31">
        <w:rPr>
          <w:rFonts w:cs="Arial"/>
        </w:rPr>
        <w:t>increases</w:t>
      </w:r>
      <w:r w:rsidR="00F6334A">
        <w:rPr>
          <w:rFonts w:cs="Arial"/>
        </w:rPr>
        <w:t xml:space="preserve"> total-C and LDL-C.</w:t>
      </w:r>
    </w:p>
    <w:p w14:paraId="1757B465" w14:textId="77777777" w:rsidR="003B166D" w:rsidRDefault="003B166D" w:rsidP="006F0F97">
      <w:pPr>
        <w:jc w:val="center"/>
        <w:rPr>
          <w:b/>
          <w:highlight w:val="yellow"/>
        </w:rPr>
        <w:sectPr w:rsidR="003B166D" w:rsidSect="00AF2396">
          <w:footerReference w:type="default" r:id="rId17"/>
          <w:pgSz w:w="11906" w:h="16838"/>
          <w:pgMar w:top="1418" w:right="991" w:bottom="1418" w:left="1418" w:header="709" w:footer="709" w:gutter="0"/>
          <w:pgNumType w:fmt="lowerRoman" w:start="1"/>
          <w:cols w:space="708"/>
          <w:docGrid w:linePitch="360"/>
        </w:sectPr>
      </w:pPr>
    </w:p>
    <w:sdt>
      <w:sdtPr>
        <w:rPr>
          <w:rFonts w:ascii="Arial" w:eastAsiaTheme="minorHAnsi" w:hAnsi="Arial" w:cstheme="minorBidi"/>
          <w:b w:val="0"/>
          <w:bCs w:val="0"/>
          <w:color w:val="auto"/>
          <w:sz w:val="22"/>
          <w:szCs w:val="22"/>
          <w:lang w:val="en-GB" w:eastAsia="en-US"/>
        </w:rPr>
        <w:id w:val="-1667704175"/>
        <w:docPartObj>
          <w:docPartGallery w:val="Table of Contents"/>
          <w:docPartUnique/>
        </w:docPartObj>
      </w:sdtPr>
      <w:sdtEndPr>
        <w:rPr>
          <w:noProof/>
        </w:rPr>
      </w:sdtEndPr>
      <w:sdtContent>
        <w:p w14:paraId="1B568319" w14:textId="77777777" w:rsidR="006F0F97" w:rsidRPr="002339A2" w:rsidRDefault="006F0F97" w:rsidP="00F5391A">
          <w:pPr>
            <w:pStyle w:val="TOCHeading"/>
            <w:numPr>
              <w:ilvl w:val="0"/>
              <w:numId w:val="0"/>
            </w:numPr>
            <w:rPr>
              <w:rFonts w:ascii="Arial" w:hAnsi="Arial" w:cs="Arial"/>
            </w:rPr>
          </w:pPr>
          <w:r w:rsidRPr="002339A2">
            <w:rPr>
              <w:rFonts w:ascii="Arial" w:hAnsi="Arial" w:cs="Arial"/>
            </w:rPr>
            <w:t>Contents</w:t>
          </w:r>
        </w:p>
        <w:p w14:paraId="0D5918A3" w14:textId="77777777" w:rsidR="002339A2" w:rsidRDefault="006F0F97">
          <w:pPr>
            <w:pStyle w:val="TOC1"/>
            <w:tabs>
              <w:tab w:val="left" w:pos="426"/>
              <w:tab w:val="right" w:leader="dot" w:pos="9060"/>
            </w:tabs>
            <w:rPr>
              <w:rFonts w:asciiTheme="minorHAnsi" w:eastAsiaTheme="minorEastAsia" w:hAnsiTheme="minorHAnsi"/>
              <w:noProof/>
              <w:lang w:eastAsia="en-GB"/>
            </w:rPr>
          </w:pPr>
          <w:r>
            <w:fldChar w:fldCharType="begin"/>
          </w:r>
          <w:r>
            <w:instrText xml:space="preserve"> TOC \o "1-3" \h \z \u </w:instrText>
          </w:r>
          <w:r>
            <w:fldChar w:fldCharType="separate"/>
          </w:r>
          <w:bookmarkStart w:id="0" w:name="_GoBack"/>
          <w:r w:rsidR="002339A2" w:rsidRPr="00AF4134">
            <w:rPr>
              <w:rStyle w:val="Hyperlink"/>
              <w:noProof/>
            </w:rPr>
            <w:fldChar w:fldCharType="begin"/>
          </w:r>
          <w:r w:rsidR="002339A2" w:rsidRPr="00AF4134">
            <w:rPr>
              <w:rStyle w:val="Hyperlink"/>
              <w:noProof/>
            </w:rPr>
            <w:instrText xml:space="preserve"> </w:instrText>
          </w:r>
          <w:r w:rsidR="002339A2">
            <w:rPr>
              <w:noProof/>
            </w:rPr>
            <w:instrText>HYPERLINK \l "_Toc487100071"</w:instrText>
          </w:r>
          <w:r w:rsidR="002339A2" w:rsidRPr="00AF4134">
            <w:rPr>
              <w:rStyle w:val="Hyperlink"/>
              <w:noProof/>
            </w:rPr>
            <w:instrText xml:space="preserve"> </w:instrText>
          </w:r>
          <w:r w:rsidR="002339A2" w:rsidRPr="00AF4134">
            <w:rPr>
              <w:rStyle w:val="Hyperlink"/>
              <w:noProof/>
            </w:rPr>
          </w:r>
          <w:r w:rsidR="002339A2" w:rsidRPr="00AF4134">
            <w:rPr>
              <w:rStyle w:val="Hyperlink"/>
              <w:noProof/>
            </w:rPr>
            <w:fldChar w:fldCharType="separate"/>
          </w:r>
          <w:r w:rsidR="002339A2" w:rsidRPr="00AF4134">
            <w:rPr>
              <w:rStyle w:val="Hyperlink"/>
              <w:noProof/>
            </w:rPr>
            <w:t>1</w:t>
          </w:r>
          <w:r w:rsidR="002339A2">
            <w:rPr>
              <w:rFonts w:asciiTheme="minorHAnsi" w:eastAsiaTheme="minorEastAsia" w:hAnsiTheme="minorHAnsi"/>
              <w:noProof/>
              <w:lang w:eastAsia="en-GB"/>
            </w:rPr>
            <w:tab/>
          </w:r>
          <w:r w:rsidR="002339A2" w:rsidRPr="00AF4134">
            <w:rPr>
              <w:rStyle w:val="Hyperlink"/>
              <w:noProof/>
            </w:rPr>
            <w:t>Introduction</w:t>
          </w:r>
          <w:r w:rsidR="002339A2">
            <w:rPr>
              <w:noProof/>
              <w:webHidden/>
            </w:rPr>
            <w:tab/>
          </w:r>
          <w:r w:rsidR="002339A2">
            <w:rPr>
              <w:noProof/>
              <w:webHidden/>
            </w:rPr>
            <w:fldChar w:fldCharType="begin"/>
          </w:r>
          <w:r w:rsidR="002339A2">
            <w:rPr>
              <w:noProof/>
              <w:webHidden/>
            </w:rPr>
            <w:instrText xml:space="preserve"> PAGEREF _Toc487100071 \h </w:instrText>
          </w:r>
          <w:r w:rsidR="002339A2">
            <w:rPr>
              <w:noProof/>
              <w:webHidden/>
            </w:rPr>
          </w:r>
          <w:r w:rsidR="002339A2">
            <w:rPr>
              <w:noProof/>
              <w:webHidden/>
            </w:rPr>
            <w:fldChar w:fldCharType="separate"/>
          </w:r>
          <w:r w:rsidR="000800BE">
            <w:rPr>
              <w:noProof/>
              <w:webHidden/>
            </w:rPr>
            <w:t>1</w:t>
          </w:r>
          <w:r w:rsidR="002339A2">
            <w:rPr>
              <w:noProof/>
              <w:webHidden/>
            </w:rPr>
            <w:fldChar w:fldCharType="end"/>
          </w:r>
          <w:r w:rsidR="002339A2" w:rsidRPr="00AF4134">
            <w:rPr>
              <w:rStyle w:val="Hyperlink"/>
              <w:noProof/>
            </w:rPr>
            <w:fldChar w:fldCharType="end"/>
          </w:r>
        </w:p>
        <w:bookmarkEnd w:id="0"/>
        <w:p w14:paraId="2E12DA0A" w14:textId="77777777" w:rsidR="002339A2" w:rsidRDefault="002339A2">
          <w:pPr>
            <w:pStyle w:val="TOC1"/>
            <w:tabs>
              <w:tab w:val="left" w:pos="426"/>
              <w:tab w:val="right" w:leader="dot" w:pos="9060"/>
            </w:tabs>
            <w:rPr>
              <w:rFonts w:asciiTheme="minorHAnsi" w:eastAsiaTheme="minorEastAsia" w:hAnsiTheme="minorHAnsi"/>
              <w:noProof/>
              <w:lang w:eastAsia="en-GB"/>
            </w:rPr>
          </w:pPr>
          <w:r w:rsidRPr="00AF4134">
            <w:rPr>
              <w:rStyle w:val="Hyperlink"/>
              <w:noProof/>
            </w:rPr>
            <w:fldChar w:fldCharType="begin"/>
          </w:r>
          <w:r w:rsidRPr="00AF4134">
            <w:rPr>
              <w:rStyle w:val="Hyperlink"/>
              <w:noProof/>
            </w:rPr>
            <w:instrText xml:space="preserve"> </w:instrText>
          </w:r>
          <w:r>
            <w:rPr>
              <w:noProof/>
            </w:rPr>
            <w:instrText>HYPERLINK \l "_Toc487100072"</w:instrText>
          </w:r>
          <w:r w:rsidRPr="00AF4134">
            <w:rPr>
              <w:rStyle w:val="Hyperlink"/>
              <w:noProof/>
            </w:rPr>
            <w:instrText xml:space="preserve"> </w:instrText>
          </w:r>
          <w:r w:rsidRPr="00AF4134">
            <w:rPr>
              <w:rStyle w:val="Hyperlink"/>
              <w:noProof/>
            </w:rPr>
          </w:r>
          <w:r w:rsidRPr="00AF4134">
            <w:rPr>
              <w:rStyle w:val="Hyperlink"/>
              <w:noProof/>
            </w:rPr>
            <w:fldChar w:fldCharType="separate"/>
          </w:r>
          <w:r w:rsidRPr="00AF4134">
            <w:rPr>
              <w:rStyle w:val="Hyperlink"/>
              <w:noProof/>
            </w:rPr>
            <w:t>2</w:t>
          </w:r>
          <w:r>
            <w:rPr>
              <w:rFonts w:asciiTheme="minorHAnsi" w:eastAsiaTheme="minorEastAsia" w:hAnsiTheme="minorHAnsi"/>
              <w:noProof/>
              <w:lang w:eastAsia="en-GB"/>
            </w:rPr>
            <w:tab/>
          </w:r>
          <w:r w:rsidRPr="00AF4134">
            <w:rPr>
              <w:rStyle w:val="Hyperlink"/>
              <w:noProof/>
            </w:rPr>
            <w:t>Overview of existing reviews</w:t>
          </w:r>
          <w:r>
            <w:rPr>
              <w:noProof/>
              <w:webHidden/>
            </w:rPr>
            <w:tab/>
          </w:r>
          <w:r>
            <w:rPr>
              <w:noProof/>
              <w:webHidden/>
            </w:rPr>
            <w:fldChar w:fldCharType="begin"/>
          </w:r>
          <w:r>
            <w:rPr>
              <w:noProof/>
              <w:webHidden/>
            </w:rPr>
            <w:instrText xml:space="preserve"> PAGEREF _Toc487100072 \h </w:instrText>
          </w:r>
          <w:r>
            <w:rPr>
              <w:noProof/>
              <w:webHidden/>
            </w:rPr>
          </w:r>
          <w:r>
            <w:rPr>
              <w:noProof/>
              <w:webHidden/>
            </w:rPr>
            <w:fldChar w:fldCharType="separate"/>
          </w:r>
          <w:r w:rsidR="000800BE">
            <w:rPr>
              <w:noProof/>
              <w:webHidden/>
            </w:rPr>
            <w:t>2</w:t>
          </w:r>
          <w:r>
            <w:rPr>
              <w:noProof/>
              <w:webHidden/>
            </w:rPr>
            <w:fldChar w:fldCharType="end"/>
          </w:r>
          <w:r w:rsidRPr="00AF4134">
            <w:rPr>
              <w:rStyle w:val="Hyperlink"/>
              <w:noProof/>
            </w:rPr>
            <w:fldChar w:fldCharType="end"/>
          </w:r>
        </w:p>
        <w:p w14:paraId="24438DA6" w14:textId="77777777" w:rsidR="002339A2" w:rsidRDefault="002339A2">
          <w:pPr>
            <w:pStyle w:val="TOC2"/>
            <w:rPr>
              <w:rFonts w:asciiTheme="minorHAnsi" w:eastAsiaTheme="minorEastAsia" w:hAnsiTheme="minorHAnsi"/>
              <w:noProof/>
              <w:lang w:eastAsia="en-GB"/>
            </w:rPr>
          </w:pPr>
          <w:hyperlink w:anchor="_Toc487100073" w:history="1">
            <w:r w:rsidRPr="00AF4134">
              <w:rPr>
                <w:rStyle w:val="Hyperlink"/>
                <w:noProof/>
              </w:rPr>
              <w:t>2.1</w:t>
            </w:r>
            <w:r>
              <w:rPr>
                <w:rFonts w:asciiTheme="minorHAnsi" w:eastAsiaTheme="minorEastAsia" w:hAnsiTheme="minorHAnsi"/>
                <w:noProof/>
                <w:lang w:eastAsia="en-GB"/>
              </w:rPr>
              <w:tab/>
            </w:r>
            <w:r w:rsidRPr="00AF4134">
              <w:rPr>
                <w:rStyle w:val="Hyperlink"/>
                <w:noProof/>
              </w:rPr>
              <w:t>Mensink et al. 2003</w:t>
            </w:r>
            <w:r>
              <w:rPr>
                <w:noProof/>
                <w:webHidden/>
              </w:rPr>
              <w:tab/>
            </w:r>
            <w:r>
              <w:rPr>
                <w:noProof/>
                <w:webHidden/>
              </w:rPr>
              <w:fldChar w:fldCharType="begin"/>
            </w:r>
            <w:r>
              <w:rPr>
                <w:noProof/>
                <w:webHidden/>
              </w:rPr>
              <w:instrText xml:space="preserve"> PAGEREF _Toc487100073 \h </w:instrText>
            </w:r>
            <w:r>
              <w:rPr>
                <w:noProof/>
                <w:webHidden/>
              </w:rPr>
            </w:r>
            <w:r>
              <w:rPr>
                <w:noProof/>
                <w:webHidden/>
              </w:rPr>
              <w:fldChar w:fldCharType="separate"/>
            </w:r>
            <w:r w:rsidR="000800BE">
              <w:rPr>
                <w:noProof/>
                <w:webHidden/>
              </w:rPr>
              <w:t>2</w:t>
            </w:r>
            <w:r>
              <w:rPr>
                <w:noProof/>
                <w:webHidden/>
              </w:rPr>
              <w:fldChar w:fldCharType="end"/>
            </w:r>
          </w:hyperlink>
        </w:p>
        <w:p w14:paraId="4E9DCEE1" w14:textId="77777777" w:rsidR="002339A2" w:rsidRDefault="002339A2">
          <w:pPr>
            <w:pStyle w:val="TOC2"/>
            <w:rPr>
              <w:rFonts w:asciiTheme="minorHAnsi" w:eastAsiaTheme="minorEastAsia" w:hAnsiTheme="minorHAnsi"/>
              <w:noProof/>
              <w:lang w:eastAsia="en-GB"/>
            </w:rPr>
          </w:pPr>
          <w:hyperlink w:anchor="_Toc487100074" w:history="1">
            <w:r w:rsidRPr="00AF4134">
              <w:rPr>
                <w:rStyle w:val="Hyperlink"/>
                <w:noProof/>
              </w:rPr>
              <w:t>2.2</w:t>
            </w:r>
            <w:r>
              <w:rPr>
                <w:rFonts w:asciiTheme="minorHAnsi" w:eastAsiaTheme="minorEastAsia" w:hAnsiTheme="minorHAnsi"/>
                <w:noProof/>
                <w:lang w:eastAsia="en-GB"/>
              </w:rPr>
              <w:tab/>
            </w:r>
            <w:r w:rsidRPr="00AF4134">
              <w:rPr>
                <w:rStyle w:val="Hyperlink"/>
                <w:noProof/>
              </w:rPr>
              <w:t>Mozaffarian and Clarke 2009</w:t>
            </w:r>
            <w:r>
              <w:rPr>
                <w:noProof/>
                <w:webHidden/>
              </w:rPr>
              <w:tab/>
            </w:r>
            <w:r>
              <w:rPr>
                <w:noProof/>
                <w:webHidden/>
              </w:rPr>
              <w:fldChar w:fldCharType="begin"/>
            </w:r>
            <w:r>
              <w:rPr>
                <w:noProof/>
                <w:webHidden/>
              </w:rPr>
              <w:instrText xml:space="preserve"> PAGEREF _Toc487100074 \h </w:instrText>
            </w:r>
            <w:r>
              <w:rPr>
                <w:noProof/>
                <w:webHidden/>
              </w:rPr>
            </w:r>
            <w:r>
              <w:rPr>
                <w:noProof/>
                <w:webHidden/>
              </w:rPr>
              <w:fldChar w:fldCharType="separate"/>
            </w:r>
            <w:r w:rsidR="000800BE">
              <w:rPr>
                <w:noProof/>
                <w:webHidden/>
              </w:rPr>
              <w:t>3</w:t>
            </w:r>
            <w:r>
              <w:rPr>
                <w:noProof/>
                <w:webHidden/>
              </w:rPr>
              <w:fldChar w:fldCharType="end"/>
            </w:r>
          </w:hyperlink>
        </w:p>
        <w:p w14:paraId="171662B6" w14:textId="77777777" w:rsidR="002339A2" w:rsidRDefault="002339A2">
          <w:pPr>
            <w:pStyle w:val="TOC2"/>
            <w:rPr>
              <w:rFonts w:asciiTheme="minorHAnsi" w:eastAsiaTheme="minorEastAsia" w:hAnsiTheme="minorHAnsi"/>
              <w:noProof/>
              <w:lang w:eastAsia="en-GB"/>
            </w:rPr>
          </w:pPr>
          <w:hyperlink w:anchor="_Toc487100075" w:history="1">
            <w:r w:rsidRPr="00AF4134">
              <w:rPr>
                <w:rStyle w:val="Hyperlink"/>
                <w:noProof/>
              </w:rPr>
              <w:t>2.3</w:t>
            </w:r>
            <w:r>
              <w:rPr>
                <w:rFonts w:asciiTheme="minorHAnsi" w:eastAsiaTheme="minorEastAsia" w:hAnsiTheme="minorHAnsi"/>
                <w:noProof/>
                <w:lang w:eastAsia="en-GB"/>
              </w:rPr>
              <w:tab/>
            </w:r>
            <w:r w:rsidRPr="00AF4134">
              <w:rPr>
                <w:rStyle w:val="Hyperlink"/>
                <w:noProof/>
              </w:rPr>
              <w:t>Brouwer et al. 2010</w:t>
            </w:r>
            <w:r>
              <w:rPr>
                <w:noProof/>
                <w:webHidden/>
              </w:rPr>
              <w:tab/>
            </w:r>
            <w:r>
              <w:rPr>
                <w:noProof/>
                <w:webHidden/>
              </w:rPr>
              <w:fldChar w:fldCharType="begin"/>
            </w:r>
            <w:r>
              <w:rPr>
                <w:noProof/>
                <w:webHidden/>
              </w:rPr>
              <w:instrText xml:space="preserve"> PAGEREF _Toc487100075 \h </w:instrText>
            </w:r>
            <w:r>
              <w:rPr>
                <w:noProof/>
                <w:webHidden/>
              </w:rPr>
            </w:r>
            <w:r>
              <w:rPr>
                <w:noProof/>
                <w:webHidden/>
              </w:rPr>
              <w:fldChar w:fldCharType="separate"/>
            </w:r>
            <w:r w:rsidR="000800BE">
              <w:rPr>
                <w:noProof/>
                <w:webHidden/>
              </w:rPr>
              <w:t>3</w:t>
            </w:r>
            <w:r>
              <w:rPr>
                <w:noProof/>
                <w:webHidden/>
              </w:rPr>
              <w:fldChar w:fldCharType="end"/>
            </w:r>
          </w:hyperlink>
        </w:p>
        <w:p w14:paraId="50D592D8" w14:textId="77777777" w:rsidR="002339A2" w:rsidRDefault="002339A2">
          <w:pPr>
            <w:pStyle w:val="TOC2"/>
            <w:rPr>
              <w:rFonts w:asciiTheme="minorHAnsi" w:eastAsiaTheme="minorEastAsia" w:hAnsiTheme="minorHAnsi"/>
              <w:noProof/>
              <w:lang w:eastAsia="en-GB"/>
            </w:rPr>
          </w:pPr>
          <w:hyperlink w:anchor="_Toc487100076" w:history="1">
            <w:r w:rsidRPr="00AF4134">
              <w:rPr>
                <w:rStyle w:val="Hyperlink"/>
                <w:noProof/>
              </w:rPr>
              <w:t>2.4</w:t>
            </w:r>
            <w:r>
              <w:rPr>
                <w:rFonts w:asciiTheme="minorHAnsi" w:eastAsiaTheme="minorEastAsia" w:hAnsiTheme="minorHAnsi"/>
                <w:noProof/>
                <w:lang w:eastAsia="en-GB"/>
              </w:rPr>
              <w:tab/>
            </w:r>
            <w:r w:rsidRPr="00AF4134">
              <w:rPr>
                <w:rStyle w:val="Hyperlink"/>
                <w:noProof/>
              </w:rPr>
              <w:t>2014 Update by ECU (Hafekost et al. 2014)</w:t>
            </w:r>
            <w:r>
              <w:rPr>
                <w:noProof/>
                <w:webHidden/>
              </w:rPr>
              <w:tab/>
            </w:r>
            <w:r>
              <w:rPr>
                <w:noProof/>
                <w:webHidden/>
              </w:rPr>
              <w:fldChar w:fldCharType="begin"/>
            </w:r>
            <w:r>
              <w:rPr>
                <w:noProof/>
                <w:webHidden/>
              </w:rPr>
              <w:instrText xml:space="preserve"> PAGEREF _Toc487100076 \h </w:instrText>
            </w:r>
            <w:r>
              <w:rPr>
                <w:noProof/>
                <w:webHidden/>
              </w:rPr>
            </w:r>
            <w:r>
              <w:rPr>
                <w:noProof/>
                <w:webHidden/>
              </w:rPr>
              <w:fldChar w:fldCharType="separate"/>
            </w:r>
            <w:r w:rsidR="000800BE">
              <w:rPr>
                <w:noProof/>
                <w:webHidden/>
              </w:rPr>
              <w:t>3</w:t>
            </w:r>
            <w:r>
              <w:rPr>
                <w:noProof/>
                <w:webHidden/>
              </w:rPr>
              <w:fldChar w:fldCharType="end"/>
            </w:r>
          </w:hyperlink>
        </w:p>
        <w:p w14:paraId="2C6F412F" w14:textId="77777777" w:rsidR="002339A2" w:rsidRDefault="002339A2">
          <w:pPr>
            <w:pStyle w:val="TOC2"/>
            <w:rPr>
              <w:rFonts w:asciiTheme="minorHAnsi" w:eastAsiaTheme="minorEastAsia" w:hAnsiTheme="minorHAnsi"/>
              <w:noProof/>
              <w:lang w:eastAsia="en-GB"/>
            </w:rPr>
          </w:pPr>
          <w:hyperlink w:anchor="_Toc487100077" w:history="1">
            <w:r w:rsidRPr="00AF4134">
              <w:rPr>
                <w:rStyle w:val="Hyperlink"/>
                <w:noProof/>
              </w:rPr>
              <w:t>2.5</w:t>
            </w:r>
            <w:r>
              <w:rPr>
                <w:rFonts w:asciiTheme="minorHAnsi" w:eastAsiaTheme="minorEastAsia" w:hAnsiTheme="minorHAnsi"/>
                <w:noProof/>
                <w:lang w:eastAsia="en-GB"/>
              </w:rPr>
              <w:tab/>
            </w:r>
            <w:r w:rsidRPr="00AF4134">
              <w:rPr>
                <w:rStyle w:val="Hyperlink"/>
                <w:noProof/>
              </w:rPr>
              <w:t>Commentary</w:t>
            </w:r>
            <w:r>
              <w:rPr>
                <w:noProof/>
                <w:webHidden/>
              </w:rPr>
              <w:tab/>
            </w:r>
            <w:r>
              <w:rPr>
                <w:noProof/>
                <w:webHidden/>
              </w:rPr>
              <w:fldChar w:fldCharType="begin"/>
            </w:r>
            <w:r>
              <w:rPr>
                <w:noProof/>
                <w:webHidden/>
              </w:rPr>
              <w:instrText xml:space="preserve"> PAGEREF _Toc487100077 \h </w:instrText>
            </w:r>
            <w:r>
              <w:rPr>
                <w:noProof/>
                <w:webHidden/>
              </w:rPr>
            </w:r>
            <w:r>
              <w:rPr>
                <w:noProof/>
                <w:webHidden/>
              </w:rPr>
              <w:fldChar w:fldCharType="separate"/>
            </w:r>
            <w:r w:rsidR="000800BE">
              <w:rPr>
                <w:noProof/>
                <w:webHidden/>
              </w:rPr>
              <w:t>4</w:t>
            </w:r>
            <w:r>
              <w:rPr>
                <w:noProof/>
                <w:webHidden/>
              </w:rPr>
              <w:fldChar w:fldCharType="end"/>
            </w:r>
          </w:hyperlink>
        </w:p>
        <w:p w14:paraId="43248450" w14:textId="77777777" w:rsidR="002339A2" w:rsidRDefault="002339A2">
          <w:pPr>
            <w:pStyle w:val="TOC2"/>
            <w:rPr>
              <w:rFonts w:asciiTheme="minorHAnsi" w:eastAsiaTheme="minorEastAsia" w:hAnsiTheme="minorHAnsi"/>
              <w:noProof/>
              <w:lang w:eastAsia="en-GB"/>
            </w:rPr>
          </w:pPr>
          <w:hyperlink w:anchor="_Toc487100078" w:history="1">
            <w:r w:rsidRPr="00AF4134">
              <w:rPr>
                <w:rStyle w:val="Hyperlink"/>
                <w:noProof/>
              </w:rPr>
              <w:t>2.6</w:t>
            </w:r>
            <w:r>
              <w:rPr>
                <w:rFonts w:asciiTheme="minorHAnsi" w:eastAsiaTheme="minorEastAsia" w:hAnsiTheme="minorHAnsi"/>
                <w:noProof/>
                <w:lang w:eastAsia="en-GB"/>
              </w:rPr>
              <w:tab/>
            </w:r>
            <w:r w:rsidRPr="00AF4134">
              <w:rPr>
                <w:rStyle w:val="Hyperlink"/>
                <w:noProof/>
              </w:rPr>
              <w:t>Summary of studies included in the reviews</w:t>
            </w:r>
            <w:r>
              <w:rPr>
                <w:noProof/>
                <w:webHidden/>
              </w:rPr>
              <w:tab/>
            </w:r>
            <w:r>
              <w:rPr>
                <w:noProof/>
                <w:webHidden/>
              </w:rPr>
              <w:fldChar w:fldCharType="begin"/>
            </w:r>
            <w:r>
              <w:rPr>
                <w:noProof/>
                <w:webHidden/>
              </w:rPr>
              <w:instrText xml:space="preserve"> PAGEREF _Toc487100078 \h </w:instrText>
            </w:r>
            <w:r>
              <w:rPr>
                <w:noProof/>
                <w:webHidden/>
              </w:rPr>
            </w:r>
            <w:r>
              <w:rPr>
                <w:noProof/>
                <w:webHidden/>
              </w:rPr>
              <w:fldChar w:fldCharType="separate"/>
            </w:r>
            <w:r w:rsidR="000800BE">
              <w:rPr>
                <w:noProof/>
                <w:webHidden/>
              </w:rPr>
              <w:t>4</w:t>
            </w:r>
            <w:r>
              <w:rPr>
                <w:noProof/>
                <w:webHidden/>
              </w:rPr>
              <w:fldChar w:fldCharType="end"/>
            </w:r>
          </w:hyperlink>
        </w:p>
        <w:p w14:paraId="6AF4BB8A" w14:textId="77777777" w:rsidR="002339A2" w:rsidRDefault="002339A2">
          <w:pPr>
            <w:pStyle w:val="TOC1"/>
            <w:tabs>
              <w:tab w:val="left" w:pos="426"/>
              <w:tab w:val="right" w:leader="dot" w:pos="9060"/>
            </w:tabs>
            <w:rPr>
              <w:rFonts w:asciiTheme="minorHAnsi" w:eastAsiaTheme="minorEastAsia" w:hAnsiTheme="minorHAnsi"/>
              <w:noProof/>
              <w:lang w:eastAsia="en-GB"/>
            </w:rPr>
          </w:pPr>
          <w:hyperlink w:anchor="_Toc487100079" w:history="1">
            <w:r w:rsidRPr="00AF4134">
              <w:rPr>
                <w:rStyle w:val="Hyperlink"/>
                <w:noProof/>
              </w:rPr>
              <w:t>3</w:t>
            </w:r>
            <w:r>
              <w:rPr>
                <w:rFonts w:asciiTheme="minorHAnsi" w:eastAsiaTheme="minorEastAsia" w:hAnsiTheme="minorHAnsi"/>
                <w:noProof/>
                <w:lang w:eastAsia="en-GB"/>
              </w:rPr>
              <w:tab/>
            </w:r>
            <w:r w:rsidRPr="00AF4134">
              <w:rPr>
                <w:rStyle w:val="Hyperlink"/>
                <w:noProof/>
              </w:rPr>
              <w:t>Additional considerations</w:t>
            </w:r>
            <w:r>
              <w:rPr>
                <w:noProof/>
                <w:webHidden/>
              </w:rPr>
              <w:tab/>
            </w:r>
            <w:r>
              <w:rPr>
                <w:noProof/>
                <w:webHidden/>
              </w:rPr>
              <w:fldChar w:fldCharType="begin"/>
            </w:r>
            <w:r>
              <w:rPr>
                <w:noProof/>
                <w:webHidden/>
              </w:rPr>
              <w:instrText xml:space="preserve"> PAGEREF _Toc487100079 \h </w:instrText>
            </w:r>
            <w:r>
              <w:rPr>
                <w:noProof/>
                <w:webHidden/>
              </w:rPr>
            </w:r>
            <w:r>
              <w:rPr>
                <w:noProof/>
                <w:webHidden/>
              </w:rPr>
              <w:fldChar w:fldCharType="separate"/>
            </w:r>
            <w:r w:rsidR="000800BE">
              <w:rPr>
                <w:noProof/>
                <w:webHidden/>
              </w:rPr>
              <w:t>4</w:t>
            </w:r>
            <w:r>
              <w:rPr>
                <w:noProof/>
                <w:webHidden/>
              </w:rPr>
              <w:fldChar w:fldCharType="end"/>
            </w:r>
          </w:hyperlink>
        </w:p>
        <w:p w14:paraId="49CB8C1A" w14:textId="77777777" w:rsidR="002339A2" w:rsidRDefault="002339A2">
          <w:pPr>
            <w:pStyle w:val="TOC2"/>
            <w:rPr>
              <w:rFonts w:asciiTheme="minorHAnsi" w:eastAsiaTheme="minorEastAsia" w:hAnsiTheme="minorHAnsi"/>
              <w:noProof/>
              <w:lang w:eastAsia="en-GB"/>
            </w:rPr>
          </w:pPr>
          <w:hyperlink w:anchor="_Toc487100080" w:history="1">
            <w:r w:rsidRPr="00AF4134">
              <w:rPr>
                <w:rStyle w:val="Hyperlink"/>
                <w:noProof/>
              </w:rPr>
              <w:t>3.1</w:t>
            </w:r>
            <w:r>
              <w:rPr>
                <w:rFonts w:asciiTheme="minorHAnsi" w:eastAsiaTheme="minorEastAsia" w:hAnsiTheme="minorHAnsi"/>
                <w:noProof/>
                <w:lang w:eastAsia="en-GB"/>
              </w:rPr>
              <w:tab/>
            </w:r>
            <w:r w:rsidRPr="00AF4134">
              <w:rPr>
                <w:rStyle w:val="Hyperlink"/>
                <w:noProof/>
              </w:rPr>
              <w:t>Cholesterol status of participants</w:t>
            </w:r>
            <w:r>
              <w:rPr>
                <w:noProof/>
                <w:webHidden/>
              </w:rPr>
              <w:tab/>
            </w:r>
            <w:r>
              <w:rPr>
                <w:noProof/>
                <w:webHidden/>
              </w:rPr>
              <w:fldChar w:fldCharType="begin"/>
            </w:r>
            <w:r>
              <w:rPr>
                <w:noProof/>
                <w:webHidden/>
              </w:rPr>
              <w:instrText xml:space="preserve"> PAGEREF _Toc487100080 \h </w:instrText>
            </w:r>
            <w:r>
              <w:rPr>
                <w:noProof/>
                <w:webHidden/>
              </w:rPr>
            </w:r>
            <w:r>
              <w:rPr>
                <w:noProof/>
                <w:webHidden/>
              </w:rPr>
              <w:fldChar w:fldCharType="separate"/>
            </w:r>
            <w:r w:rsidR="000800BE">
              <w:rPr>
                <w:noProof/>
                <w:webHidden/>
              </w:rPr>
              <w:t>4</w:t>
            </w:r>
            <w:r>
              <w:rPr>
                <w:noProof/>
                <w:webHidden/>
              </w:rPr>
              <w:fldChar w:fldCharType="end"/>
            </w:r>
          </w:hyperlink>
        </w:p>
        <w:p w14:paraId="20CA9BBC" w14:textId="77777777" w:rsidR="002339A2" w:rsidRDefault="002339A2">
          <w:pPr>
            <w:pStyle w:val="TOC2"/>
            <w:rPr>
              <w:rFonts w:asciiTheme="minorHAnsi" w:eastAsiaTheme="minorEastAsia" w:hAnsiTheme="minorHAnsi"/>
              <w:noProof/>
              <w:lang w:eastAsia="en-GB"/>
            </w:rPr>
          </w:pPr>
          <w:hyperlink w:anchor="_Toc487100081" w:history="1">
            <w:r w:rsidRPr="00AF4134">
              <w:rPr>
                <w:rStyle w:val="Hyperlink"/>
                <w:noProof/>
              </w:rPr>
              <w:t>3.2</w:t>
            </w:r>
            <w:r>
              <w:rPr>
                <w:rFonts w:asciiTheme="minorHAnsi" w:eastAsiaTheme="minorEastAsia" w:hAnsiTheme="minorHAnsi"/>
                <w:noProof/>
                <w:lang w:eastAsia="en-GB"/>
              </w:rPr>
              <w:tab/>
            </w:r>
            <w:r w:rsidRPr="00AF4134">
              <w:rPr>
                <w:rStyle w:val="Hyperlink"/>
                <w:noProof/>
              </w:rPr>
              <w:t>Relationship with total-C</w:t>
            </w:r>
            <w:r>
              <w:rPr>
                <w:noProof/>
                <w:webHidden/>
              </w:rPr>
              <w:tab/>
            </w:r>
            <w:r>
              <w:rPr>
                <w:noProof/>
                <w:webHidden/>
              </w:rPr>
              <w:fldChar w:fldCharType="begin"/>
            </w:r>
            <w:r>
              <w:rPr>
                <w:noProof/>
                <w:webHidden/>
              </w:rPr>
              <w:instrText xml:space="preserve"> PAGEREF _Toc487100081 \h </w:instrText>
            </w:r>
            <w:r>
              <w:rPr>
                <w:noProof/>
                <w:webHidden/>
              </w:rPr>
            </w:r>
            <w:r>
              <w:rPr>
                <w:noProof/>
                <w:webHidden/>
              </w:rPr>
              <w:fldChar w:fldCharType="separate"/>
            </w:r>
            <w:r w:rsidR="000800BE">
              <w:rPr>
                <w:noProof/>
                <w:webHidden/>
              </w:rPr>
              <w:t>8</w:t>
            </w:r>
            <w:r>
              <w:rPr>
                <w:noProof/>
                <w:webHidden/>
              </w:rPr>
              <w:fldChar w:fldCharType="end"/>
            </w:r>
          </w:hyperlink>
        </w:p>
        <w:p w14:paraId="17C5506B" w14:textId="77777777" w:rsidR="002339A2" w:rsidRDefault="002339A2">
          <w:pPr>
            <w:pStyle w:val="TOC2"/>
            <w:rPr>
              <w:rFonts w:asciiTheme="minorHAnsi" w:eastAsiaTheme="minorEastAsia" w:hAnsiTheme="minorHAnsi"/>
              <w:noProof/>
              <w:lang w:eastAsia="en-GB"/>
            </w:rPr>
          </w:pPr>
          <w:hyperlink w:anchor="_Toc487100082" w:history="1">
            <w:r w:rsidRPr="00AF4134">
              <w:rPr>
                <w:rStyle w:val="Hyperlink"/>
                <w:noProof/>
              </w:rPr>
              <w:t>3.3</w:t>
            </w:r>
            <w:r>
              <w:rPr>
                <w:rFonts w:asciiTheme="minorHAnsi" w:eastAsiaTheme="minorEastAsia" w:hAnsiTheme="minorHAnsi"/>
                <w:noProof/>
                <w:lang w:eastAsia="en-GB"/>
              </w:rPr>
              <w:tab/>
            </w:r>
            <w:r w:rsidRPr="00AF4134">
              <w:rPr>
                <w:rStyle w:val="Hyperlink"/>
                <w:noProof/>
              </w:rPr>
              <w:t>Consistency across studies</w:t>
            </w:r>
            <w:r>
              <w:rPr>
                <w:noProof/>
                <w:webHidden/>
              </w:rPr>
              <w:tab/>
            </w:r>
            <w:r>
              <w:rPr>
                <w:noProof/>
                <w:webHidden/>
              </w:rPr>
              <w:fldChar w:fldCharType="begin"/>
            </w:r>
            <w:r>
              <w:rPr>
                <w:noProof/>
                <w:webHidden/>
              </w:rPr>
              <w:instrText xml:space="preserve"> PAGEREF _Toc487100082 \h </w:instrText>
            </w:r>
            <w:r>
              <w:rPr>
                <w:noProof/>
                <w:webHidden/>
              </w:rPr>
            </w:r>
            <w:r>
              <w:rPr>
                <w:noProof/>
                <w:webHidden/>
              </w:rPr>
              <w:fldChar w:fldCharType="separate"/>
            </w:r>
            <w:r w:rsidR="000800BE">
              <w:rPr>
                <w:noProof/>
                <w:webHidden/>
              </w:rPr>
              <w:t>9</w:t>
            </w:r>
            <w:r>
              <w:rPr>
                <w:noProof/>
                <w:webHidden/>
              </w:rPr>
              <w:fldChar w:fldCharType="end"/>
            </w:r>
          </w:hyperlink>
        </w:p>
        <w:p w14:paraId="07AAD98A" w14:textId="77777777" w:rsidR="002339A2" w:rsidRDefault="002339A2">
          <w:pPr>
            <w:pStyle w:val="TOC1"/>
            <w:tabs>
              <w:tab w:val="left" w:pos="426"/>
              <w:tab w:val="right" w:leader="dot" w:pos="9060"/>
            </w:tabs>
            <w:rPr>
              <w:rFonts w:asciiTheme="minorHAnsi" w:eastAsiaTheme="minorEastAsia" w:hAnsiTheme="minorHAnsi"/>
              <w:noProof/>
              <w:lang w:eastAsia="en-GB"/>
            </w:rPr>
          </w:pPr>
          <w:hyperlink w:anchor="_Toc487100083" w:history="1">
            <w:r w:rsidRPr="00AF4134">
              <w:rPr>
                <w:rStyle w:val="Hyperlink"/>
                <w:noProof/>
                <w:lang w:eastAsia="en-AU"/>
              </w:rPr>
              <w:t>4</w:t>
            </w:r>
            <w:r>
              <w:rPr>
                <w:rFonts w:asciiTheme="minorHAnsi" w:eastAsiaTheme="minorEastAsia" w:hAnsiTheme="minorHAnsi"/>
                <w:noProof/>
                <w:lang w:eastAsia="en-GB"/>
              </w:rPr>
              <w:tab/>
            </w:r>
            <w:r w:rsidRPr="00AF4134">
              <w:rPr>
                <w:rStyle w:val="Hyperlink"/>
                <w:noProof/>
                <w:lang w:eastAsia="en-AU"/>
              </w:rPr>
              <w:t>Conclusion</w:t>
            </w:r>
            <w:r>
              <w:rPr>
                <w:noProof/>
                <w:webHidden/>
              </w:rPr>
              <w:tab/>
            </w:r>
            <w:r>
              <w:rPr>
                <w:noProof/>
                <w:webHidden/>
              </w:rPr>
              <w:fldChar w:fldCharType="begin"/>
            </w:r>
            <w:r>
              <w:rPr>
                <w:noProof/>
                <w:webHidden/>
              </w:rPr>
              <w:instrText xml:space="preserve"> PAGEREF _Toc487100083 \h </w:instrText>
            </w:r>
            <w:r>
              <w:rPr>
                <w:noProof/>
                <w:webHidden/>
              </w:rPr>
            </w:r>
            <w:r>
              <w:rPr>
                <w:noProof/>
                <w:webHidden/>
              </w:rPr>
              <w:fldChar w:fldCharType="separate"/>
            </w:r>
            <w:r w:rsidR="000800BE">
              <w:rPr>
                <w:noProof/>
                <w:webHidden/>
              </w:rPr>
              <w:t>9</w:t>
            </w:r>
            <w:r>
              <w:rPr>
                <w:noProof/>
                <w:webHidden/>
              </w:rPr>
              <w:fldChar w:fldCharType="end"/>
            </w:r>
          </w:hyperlink>
        </w:p>
        <w:p w14:paraId="40682D3E" w14:textId="77777777" w:rsidR="002339A2" w:rsidRDefault="002339A2">
          <w:pPr>
            <w:pStyle w:val="TOC1"/>
            <w:tabs>
              <w:tab w:val="left" w:pos="426"/>
              <w:tab w:val="right" w:leader="dot" w:pos="9060"/>
            </w:tabs>
            <w:rPr>
              <w:rFonts w:asciiTheme="minorHAnsi" w:eastAsiaTheme="minorEastAsia" w:hAnsiTheme="minorHAnsi"/>
              <w:noProof/>
              <w:lang w:eastAsia="en-GB"/>
            </w:rPr>
          </w:pPr>
          <w:hyperlink w:anchor="_Toc487100084" w:history="1">
            <w:r w:rsidRPr="00AF4134">
              <w:rPr>
                <w:rStyle w:val="Hyperlink"/>
                <w:noProof/>
                <w:lang w:eastAsia="en-AU"/>
              </w:rPr>
              <w:t>5</w:t>
            </w:r>
            <w:r>
              <w:rPr>
                <w:rFonts w:asciiTheme="minorHAnsi" w:eastAsiaTheme="minorEastAsia" w:hAnsiTheme="minorHAnsi"/>
                <w:noProof/>
                <w:lang w:eastAsia="en-GB"/>
              </w:rPr>
              <w:tab/>
            </w:r>
            <w:r w:rsidRPr="00AF4134">
              <w:rPr>
                <w:rStyle w:val="Hyperlink"/>
                <w:noProof/>
                <w:lang w:eastAsia="en-AU"/>
              </w:rPr>
              <w:t>References</w:t>
            </w:r>
            <w:r>
              <w:rPr>
                <w:noProof/>
                <w:webHidden/>
              </w:rPr>
              <w:tab/>
            </w:r>
            <w:r>
              <w:rPr>
                <w:noProof/>
                <w:webHidden/>
              </w:rPr>
              <w:fldChar w:fldCharType="begin"/>
            </w:r>
            <w:r>
              <w:rPr>
                <w:noProof/>
                <w:webHidden/>
              </w:rPr>
              <w:instrText xml:space="preserve"> PAGEREF _Toc487100084 \h </w:instrText>
            </w:r>
            <w:r>
              <w:rPr>
                <w:noProof/>
                <w:webHidden/>
              </w:rPr>
            </w:r>
            <w:r>
              <w:rPr>
                <w:noProof/>
                <w:webHidden/>
              </w:rPr>
              <w:fldChar w:fldCharType="separate"/>
            </w:r>
            <w:r w:rsidR="000800BE">
              <w:rPr>
                <w:noProof/>
                <w:webHidden/>
              </w:rPr>
              <w:t>12</w:t>
            </w:r>
            <w:r>
              <w:rPr>
                <w:noProof/>
                <w:webHidden/>
              </w:rPr>
              <w:fldChar w:fldCharType="end"/>
            </w:r>
          </w:hyperlink>
        </w:p>
        <w:p w14:paraId="779C8082" w14:textId="77777777" w:rsidR="002339A2" w:rsidRDefault="002339A2">
          <w:pPr>
            <w:pStyle w:val="TOC1"/>
            <w:tabs>
              <w:tab w:val="right" w:leader="dot" w:pos="9060"/>
            </w:tabs>
            <w:rPr>
              <w:rFonts w:asciiTheme="minorHAnsi" w:eastAsiaTheme="minorEastAsia" w:hAnsiTheme="minorHAnsi"/>
              <w:noProof/>
              <w:lang w:eastAsia="en-GB"/>
            </w:rPr>
          </w:pPr>
          <w:hyperlink w:anchor="_Toc487100085" w:history="1">
            <w:r w:rsidRPr="00AF4134">
              <w:rPr>
                <w:rStyle w:val="Hyperlink"/>
                <w:noProof/>
                <w:lang w:eastAsia="en-AU"/>
              </w:rPr>
              <w:t xml:space="preserve">Appendix 1: </w:t>
            </w:r>
            <w:r w:rsidRPr="00AF4134">
              <w:rPr>
                <w:rStyle w:val="Hyperlink"/>
                <w:noProof/>
                <w:lang w:eastAsia="en-AU"/>
              </w:rPr>
              <w:t>GRADE summary of findings table</w:t>
            </w:r>
            <w:r>
              <w:rPr>
                <w:noProof/>
                <w:webHidden/>
              </w:rPr>
              <w:tab/>
            </w:r>
            <w:r>
              <w:rPr>
                <w:noProof/>
                <w:webHidden/>
              </w:rPr>
              <w:fldChar w:fldCharType="begin"/>
            </w:r>
            <w:r>
              <w:rPr>
                <w:noProof/>
                <w:webHidden/>
              </w:rPr>
              <w:instrText xml:space="preserve"> PAGEREF _Toc487100085 \h </w:instrText>
            </w:r>
            <w:r>
              <w:rPr>
                <w:noProof/>
                <w:webHidden/>
              </w:rPr>
            </w:r>
            <w:r>
              <w:rPr>
                <w:noProof/>
                <w:webHidden/>
              </w:rPr>
              <w:fldChar w:fldCharType="separate"/>
            </w:r>
            <w:r w:rsidR="000800BE">
              <w:rPr>
                <w:noProof/>
                <w:webHidden/>
              </w:rPr>
              <w:t>16</w:t>
            </w:r>
            <w:r>
              <w:rPr>
                <w:noProof/>
                <w:webHidden/>
              </w:rPr>
              <w:fldChar w:fldCharType="end"/>
            </w:r>
          </w:hyperlink>
        </w:p>
        <w:p w14:paraId="0482045F" w14:textId="7DD9B793" w:rsidR="006F0F97" w:rsidRDefault="006F0F97">
          <w:r>
            <w:rPr>
              <w:b/>
              <w:bCs/>
              <w:noProof/>
            </w:rPr>
            <w:fldChar w:fldCharType="end"/>
          </w:r>
        </w:p>
      </w:sdtContent>
    </w:sdt>
    <w:p w14:paraId="0AEE5AC6" w14:textId="77777777" w:rsidR="00D5526B" w:rsidRDefault="00D5526B" w:rsidP="00793DE6"/>
    <w:p w14:paraId="751D227C" w14:textId="77777777" w:rsidR="006F0F97" w:rsidRDefault="006F0F97">
      <w:r>
        <w:br w:type="page"/>
      </w:r>
    </w:p>
    <w:p w14:paraId="79C0F6F7" w14:textId="77777777" w:rsidR="000C0352" w:rsidRDefault="000C0352">
      <w:r>
        <w:lastRenderedPageBreak/>
        <w:t>Abbreviations</w:t>
      </w:r>
    </w:p>
    <w:p w14:paraId="7ACF4EBF" w14:textId="77777777" w:rsidR="000C0352" w:rsidRDefault="000C0352"/>
    <w:p w14:paraId="7E0D00AD" w14:textId="77777777" w:rsidR="000C0352" w:rsidRDefault="000C0352"/>
    <w:p w14:paraId="3C640B86" w14:textId="77777777" w:rsidR="000C0352" w:rsidRDefault="000C0352">
      <w:r>
        <w:t>CLA</w:t>
      </w:r>
      <w:r w:rsidR="000C4D10">
        <w:tab/>
      </w:r>
      <w:r w:rsidR="00A167FD">
        <w:tab/>
      </w:r>
      <w:r w:rsidR="000C4D10">
        <w:t>conjugated linoleic acid</w:t>
      </w:r>
    </w:p>
    <w:p w14:paraId="651AE520" w14:textId="77777777" w:rsidR="000C0352" w:rsidRDefault="000C0352">
      <w:r>
        <w:t>ECU</w:t>
      </w:r>
      <w:r w:rsidR="000C4D10">
        <w:t xml:space="preserve"> </w:t>
      </w:r>
      <w:r w:rsidR="00A167FD">
        <w:tab/>
      </w:r>
      <w:r w:rsidR="00A167FD">
        <w:tab/>
      </w:r>
      <w:r w:rsidR="000C4D10">
        <w:t>Edith Cowan University</w:t>
      </w:r>
    </w:p>
    <w:p w14:paraId="44FC6D0A" w14:textId="77777777" w:rsidR="00715D45" w:rsidRDefault="00715D45" w:rsidP="00715D45">
      <w:r>
        <w:t>HDL-C</w:t>
      </w:r>
      <w:r>
        <w:tab/>
        <w:t xml:space="preserve">high density lipoprotein cholesterol </w:t>
      </w:r>
    </w:p>
    <w:p w14:paraId="68FC8BB9" w14:textId="77777777" w:rsidR="00715D45" w:rsidRDefault="00715D45" w:rsidP="00715D45">
      <w:r>
        <w:t>LDL-C</w:t>
      </w:r>
      <w:r>
        <w:tab/>
        <w:t>low density lipoprotein cholesterol</w:t>
      </w:r>
    </w:p>
    <w:p w14:paraId="188859DD" w14:textId="77777777" w:rsidR="00715D45" w:rsidRDefault="00715D45" w:rsidP="00715D45">
      <w:r>
        <w:t>TFA</w:t>
      </w:r>
      <w:r>
        <w:tab/>
      </w:r>
      <w:r>
        <w:tab/>
      </w:r>
      <w:proofErr w:type="gramStart"/>
      <w:r>
        <w:t>trans</w:t>
      </w:r>
      <w:proofErr w:type="gramEnd"/>
      <w:r>
        <w:t xml:space="preserve"> fatty acid</w:t>
      </w:r>
    </w:p>
    <w:p w14:paraId="1F43CE39" w14:textId="5A4C7DBE" w:rsidR="00715D45" w:rsidRDefault="00715D45" w:rsidP="00715D45">
      <w:proofErr w:type="gramStart"/>
      <w:r>
        <w:t>total-C</w:t>
      </w:r>
      <w:proofErr w:type="gramEnd"/>
      <w:r>
        <w:tab/>
        <w:t>total cholesterol</w:t>
      </w:r>
    </w:p>
    <w:p w14:paraId="2004B2D2" w14:textId="6F4CEF17" w:rsidR="00715D45" w:rsidRDefault="00715D45">
      <w:r>
        <w:t>RCT</w:t>
      </w:r>
      <w:r>
        <w:tab/>
      </w:r>
      <w:r>
        <w:tab/>
        <w:t>Randomised controlled trial</w:t>
      </w:r>
    </w:p>
    <w:p w14:paraId="53D4E779" w14:textId="77777777" w:rsidR="000C0352" w:rsidRDefault="000C0352">
      <w:r>
        <w:br/>
      </w:r>
    </w:p>
    <w:p w14:paraId="7B683B73" w14:textId="77777777" w:rsidR="00ED2CA6" w:rsidRDefault="00ED2CA6">
      <w:pPr>
        <w:sectPr w:rsidR="00ED2CA6" w:rsidSect="00C925EA">
          <w:footerReference w:type="default" r:id="rId18"/>
          <w:pgSz w:w="11906" w:h="16838"/>
          <w:pgMar w:top="1418" w:right="1418" w:bottom="1418" w:left="1418" w:header="709" w:footer="709" w:gutter="0"/>
          <w:cols w:space="708"/>
          <w:docGrid w:linePitch="360"/>
        </w:sectPr>
      </w:pPr>
    </w:p>
    <w:p w14:paraId="40B5BB20" w14:textId="68B4AB66" w:rsidR="006F0F97" w:rsidRPr="00507992" w:rsidRDefault="000A2F8E" w:rsidP="00791F68">
      <w:pPr>
        <w:pStyle w:val="Heading1"/>
        <w:numPr>
          <w:ilvl w:val="0"/>
          <w:numId w:val="35"/>
        </w:numPr>
        <w:ind w:hanging="574"/>
      </w:pPr>
      <w:bookmarkStart w:id="1" w:name="_Toc401067043"/>
      <w:bookmarkStart w:id="2" w:name="_Toc487100071"/>
      <w:bookmarkEnd w:id="1"/>
      <w:r w:rsidRPr="00C219E4">
        <w:lastRenderedPageBreak/>
        <w:t>Introduction</w:t>
      </w:r>
      <w:bookmarkEnd w:id="2"/>
    </w:p>
    <w:p w14:paraId="16D887BB" w14:textId="0AB63982" w:rsidR="00016D36" w:rsidRDefault="00C90AB2" w:rsidP="00016D36">
      <w:r>
        <w:t>T</w:t>
      </w:r>
      <w:r w:rsidR="00016D36">
        <w:t xml:space="preserve">he </w:t>
      </w:r>
      <w:r>
        <w:t xml:space="preserve">data </w:t>
      </w:r>
      <w:r w:rsidR="00662EB0">
        <w:t xml:space="preserve">which currently underpin </w:t>
      </w:r>
      <w:r w:rsidR="00016D36">
        <w:t>the pre-approved health claim relating to</w:t>
      </w:r>
      <w:r w:rsidR="00B81315">
        <w:t xml:space="preserve"> </w:t>
      </w:r>
      <w:r w:rsidR="00016D36">
        <w:t>TFA</w:t>
      </w:r>
      <w:r w:rsidR="00832709">
        <w:t>s</w:t>
      </w:r>
      <w:r>
        <w:t>,</w:t>
      </w:r>
      <w:r w:rsidR="00016D36">
        <w:t xml:space="preserve"> saturated fatty acids and blood cholesterol listed in </w:t>
      </w:r>
      <w:r w:rsidR="00D66A4F">
        <w:t>Schedule 4</w:t>
      </w:r>
      <w:r w:rsidR="00986C92">
        <w:t xml:space="preserve"> – Nutrition, </w:t>
      </w:r>
      <w:r w:rsidR="000B2D9F">
        <w:t>h</w:t>
      </w:r>
      <w:r w:rsidR="00986C92">
        <w:t xml:space="preserve">ealth and </w:t>
      </w:r>
      <w:r w:rsidR="000B2D9F">
        <w:t>r</w:t>
      </w:r>
      <w:r w:rsidR="00986C92">
        <w:t xml:space="preserve">elated </w:t>
      </w:r>
      <w:r w:rsidR="000B2D9F">
        <w:t>c</w:t>
      </w:r>
      <w:r w:rsidR="00986C92">
        <w:t>laims</w:t>
      </w:r>
      <w:r w:rsidR="00016D36">
        <w:t xml:space="preserve"> </w:t>
      </w:r>
      <w:r w:rsidR="000B2D9F">
        <w:t xml:space="preserve">in </w:t>
      </w:r>
      <w:r w:rsidR="00D66A4F">
        <w:t xml:space="preserve">the </w:t>
      </w:r>
      <w:r w:rsidR="00D66A4F" w:rsidRPr="00D66A4F">
        <w:rPr>
          <w:i/>
        </w:rPr>
        <w:t>Australia New Zealand Food Standards Code</w:t>
      </w:r>
      <w:r w:rsidR="00D66A4F">
        <w:t xml:space="preserve"> </w:t>
      </w:r>
      <w:r w:rsidR="000B2D9F">
        <w:t xml:space="preserve">(the Code) </w:t>
      </w:r>
      <w:r w:rsidR="003B4D01">
        <w:t xml:space="preserve">were </w:t>
      </w:r>
      <w:r>
        <w:t>considered in this review</w:t>
      </w:r>
      <w:r w:rsidR="00016D36">
        <w:t xml:space="preserve">.  </w:t>
      </w:r>
    </w:p>
    <w:p w14:paraId="0BDBC0E4" w14:textId="77777777" w:rsidR="00016D36" w:rsidRDefault="00016D36" w:rsidP="00016D36"/>
    <w:p w14:paraId="276DDB35" w14:textId="0579C77A" w:rsidR="00AF12D0" w:rsidRPr="004C22EB" w:rsidRDefault="00016D36" w:rsidP="00AF12D0">
      <w:r w:rsidRPr="004C22EB">
        <w:t>The currency of pre-approved health claims is being considered during the transition period for Standard 1.2.7. The relationship between TFA</w:t>
      </w:r>
      <w:r w:rsidR="00832709">
        <w:t>s</w:t>
      </w:r>
      <w:r w:rsidR="00C87E84" w:rsidRPr="004C22EB">
        <w:t xml:space="preserve"> </w:t>
      </w:r>
      <w:r w:rsidR="001307F7">
        <w:t>and</w:t>
      </w:r>
      <w:r w:rsidRPr="004C22EB">
        <w:t xml:space="preserve"> blood total</w:t>
      </w:r>
      <w:r w:rsidR="005B0F31">
        <w:t>-C</w:t>
      </w:r>
      <w:r w:rsidR="00B81315">
        <w:t xml:space="preserve"> and LDL-</w:t>
      </w:r>
      <w:r w:rsidR="003E2E87">
        <w:t>C</w:t>
      </w:r>
      <w:r w:rsidR="00715D45">
        <w:t xml:space="preserve"> </w:t>
      </w:r>
      <w:r w:rsidRPr="004C22EB">
        <w:t xml:space="preserve">concentrations was considered during the development of the Standard and was included </w:t>
      </w:r>
      <w:r w:rsidR="00986C92">
        <w:t xml:space="preserve">in </w:t>
      </w:r>
      <w:r w:rsidR="005B0F31">
        <w:t xml:space="preserve">the then </w:t>
      </w:r>
      <w:r w:rsidR="00986C92">
        <w:t xml:space="preserve">Schedule </w:t>
      </w:r>
      <w:r w:rsidR="005B0F31">
        <w:t xml:space="preserve">2 </w:t>
      </w:r>
      <w:r w:rsidR="000B2D9F">
        <w:t xml:space="preserve">to Standard 1.2.7 </w:t>
      </w:r>
      <w:r w:rsidR="005B0F31">
        <w:t xml:space="preserve">(now Schedule 4) </w:t>
      </w:r>
      <w:r w:rsidRPr="004C22EB">
        <w:t>(see Table 1) following advice from the former Scientific Advisory Group (FSANZ 200</w:t>
      </w:r>
      <w:r w:rsidR="00AB6052" w:rsidRPr="004C22EB">
        <w:t>5</w:t>
      </w:r>
      <w:r w:rsidR="00E76175">
        <w:rPr>
          <w:rStyle w:val="FootnoteReference"/>
        </w:rPr>
        <w:footnoteReference w:id="1"/>
      </w:r>
      <w:r w:rsidRPr="004C22EB">
        <w:t xml:space="preserve">). </w:t>
      </w:r>
      <w:r w:rsidR="00AF12D0" w:rsidRPr="004C22EB">
        <w:t xml:space="preserve">Table 1 shows that </w:t>
      </w:r>
      <w:r w:rsidR="00986C92">
        <w:t xml:space="preserve">the permitted food or property of food </w:t>
      </w:r>
      <w:r w:rsidR="006A7CD6">
        <w:t xml:space="preserve">is </w:t>
      </w:r>
      <w:r w:rsidR="00986C92">
        <w:rPr>
          <w:i/>
        </w:rPr>
        <w:t xml:space="preserve">saturated and </w:t>
      </w:r>
      <w:proofErr w:type="gramStart"/>
      <w:r w:rsidR="00986C92">
        <w:rPr>
          <w:i/>
        </w:rPr>
        <w:t>trans</w:t>
      </w:r>
      <w:proofErr w:type="gramEnd"/>
      <w:r w:rsidR="00986C92">
        <w:rPr>
          <w:i/>
        </w:rPr>
        <w:t xml:space="preserve"> fatty acids. </w:t>
      </w:r>
      <w:r w:rsidR="00AF12D0" w:rsidRPr="004C22EB">
        <w:t>This review considers only TFA</w:t>
      </w:r>
      <w:r w:rsidR="00884646">
        <w:t>s</w:t>
      </w:r>
      <w:r w:rsidR="00AF12D0" w:rsidRPr="004C22EB">
        <w:t xml:space="preserve">. The relationship with saturated fatty acids </w:t>
      </w:r>
      <w:r w:rsidR="00E76175">
        <w:t>will be</w:t>
      </w:r>
      <w:r w:rsidR="00E76175" w:rsidRPr="004C22EB">
        <w:t xml:space="preserve"> </w:t>
      </w:r>
      <w:r w:rsidR="00AF12D0" w:rsidRPr="004C22EB">
        <w:t xml:space="preserve">covered in a separate review. </w:t>
      </w:r>
    </w:p>
    <w:p w14:paraId="019C3F3E" w14:textId="7041EECC" w:rsidR="00867874" w:rsidRPr="004C22EB" w:rsidRDefault="00867874" w:rsidP="00E56911">
      <w:pPr>
        <w:rPr>
          <w:i/>
        </w:rPr>
      </w:pPr>
    </w:p>
    <w:p w14:paraId="6232F1A2" w14:textId="4BB56ABA" w:rsidR="00867874" w:rsidRPr="005B0F31" w:rsidRDefault="000C0352" w:rsidP="004B560C">
      <w:pPr>
        <w:pStyle w:val="Table2"/>
        <w:rPr>
          <w:i/>
        </w:rPr>
      </w:pPr>
      <w:r w:rsidRPr="00B96989">
        <w:rPr>
          <w:b/>
        </w:rPr>
        <w:t>Table 1</w:t>
      </w:r>
      <w:r w:rsidR="00832709">
        <w:t xml:space="preserve">: </w:t>
      </w:r>
      <w:r w:rsidR="00867874" w:rsidRPr="00B96989">
        <w:t xml:space="preserve"> Pre-approved high level health claim for </w:t>
      </w:r>
      <w:r w:rsidR="00832709" w:rsidRPr="00B96989">
        <w:t>TFAs</w:t>
      </w:r>
      <w:r w:rsidR="00867874" w:rsidRPr="00B96989">
        <w:t xml:space="preserve"> </w:t>
      </w:r>
      <w:r w:rsidRPr="00B96989">
        <w:t xml:space="preserve">in Schedule </w:t>
      </w:r>
      <w:r w:rsidR="005B0F31">
        <w:t>4</w:t>
      </w:r>
      <w:r w:rsidRPr="00B96989">
        <w:t xml:space="preserve"> </w:t>
      </w:r>
    </w:p>
    <w:p w14:paraId="576CB1F6" w14:textId="77777777" w:rsidR="00016D36" w:rsidRPr="004C22EB" w:rsidRDefault="00016D36" w:rsidP="00016D36"/>
    <w:tbl>
      <w:tblPr>
        <w:tblW w:w="9072" w:type="dxa"/>
        <w:tblCellMar>
          <w:left w:w="0" w:type="dxa"/>
          <w:right w:w="0" w:type="dxa"/>
        </w:tblCellMar>
        <w:tblLook w:val="04A0" w:firstRow="1" w:lastRow="0" w:firstColumn="1" w:lastColumn="0" w:noHBand="0" w:noVBand="1"/>
      </w:tblPr>
      <w:tblGrid>
        <w:gridCol w:w="2093"/>
        <w:gridCol w:w="1843"/>
        <w:gridCol w:w="1275"/>
        <w:gridCol w:w="1917"/>
        <w:gridCol w:w="1944"/>
      </w:tblGrid>
      <w:tr w:rsidR="00016D36" w:rsidRPr="004C22EB" w14:paraId="7B8DE438" w14:textId="77777777" w:rsidTr="004B560C">
        <w:trPr>
          <w:cantSplit/>
          <w:tblHeader/>
        </w:trPr>
        <w:tc>
          <w:tcPr>
            <w:tcW w:w="2093" w:type="dxa"/>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7FF41510"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Column 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D8F9D4"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Column 2</w:t>
            </w:r>
          </w:p>
        </w:tc>
        <w:tc>
          <w:tcPr>
            <w:tcW w:w="1275" w:type="dxa"/>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0BF50CF7"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Column 3</w:t>
            </w:r>
          </w:p>
        </w:tc>
        <w:tc>
          <w:tcPr>
            <w:tcW w:w="1917" w:type="dxa"/>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52FF1621"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Column 4</w:t>
            </w:r>
          </w:p>
        </w:tc>
        <w:tc>
          <w:tcPr>
            <w:tcW w:w="1944" w:type="dxa"/>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1F00C4E2"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Column 5</w:t>
            </w:r>
          </w:p>
        </w:tc>
      </w:tr>
      <w:tr w:rsidR="00016D36" w:rsidRPr="004C22EB" w14:paraId="0A6C3E2D" w14:textId="77777777" w:rsidTr="004B560C">
        <w:trPr>
          <w:cantSplit/>
        </w:trPr>
        <w:tc>
          <w:tcPr>
            <w:tcW w:w="2093" w:type="dxa"/>
            <w:tcBorders>
              <w:top w:val="nil"/>
              <w:left w:val="single" w:sz="8" w:space="0" w:color="auto"/>
              <w:bottom w:val="single" w:sz="8" w:space="0" w:color="000000"/>
              <w:right w:val="single" w:sz="8" w:space="0" w:color="auto"/>
            </w:tcBorders>
            <w:tcMar>
              <w:top w:w="0" w:type="dxa"/>
              <w:left w:w="108" w:type="dxa"/>
              <w:bottom w:w="0" w:type="dxa"/>
              <w:right w:w="108" w:type="dxa"/>
            </w:tcMar>
            <w:hideMark/>
          </w:tcPr>
          <w:p w14:paraId="0D793B8C"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Food or property of food</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EEE1F6E"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Specific health effect</w:t>
            </w:r>
          </w:p>
        </w:tc>
        <w:tc>
          <w:tcPr>
            <w:tcW w:w="1275" w:type="dxa"/>
            <w:tcBorders>
              <w:top w:val="nil"/>
              <w:left w:val="nil"/>
              <w:bottom w:val="single" w:sz="8" w:space="0" w:color="000000"/>
              <w:right w:val="single" w:sz="8" w:space="0" w:color="auto"/>
            </w:tcBorders>
            <w:tcMar>
              <w:top w:w="0" w:type="dxa"/>
              <w:left w:w="108" w:type="dxa"/>
              <w:bottom w:w="0" w:type="dxa"/>
              <w:right w:w="108" w:type="dxa"/>
            </w:tcMar>
            <w:hideMark/>
          </w:tcPr>
          <w:p w14:paraId="1038BA4C"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Relevant population</w:t>
            </w:r>
          </w:p>
        </w:tc>
        <w:tc>
          <w:tcPr>
            <w:tcW w:w="1917" w:type="dxa"/>
            <w:tcBorders>
              <w:top w:val="nil"/>
              <w:left w:val="nil"/>
              <w:bottom w:val="single" w:sz="8" w:space="0" w:color="000000"/>
              <w:right w:val="single" w:sz="8" w:space="0" w:color="auto"/>
            </w:tcBorders>
            <w:tcMar>
              <w:top w:w="0" w:type="dxa"/>
              <w:left w:w="108" w:type="dxa"/>
              <w:bottom w:w="0" w:type="dxa"/>
              <w:right w:w="108" w:type="dxa"/>
            </w:tcMar>
            <w:hideMark/>
          </w:tcPr>
          <w:p w14:paraId="6B4FA87C"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Context claim statements</w:t>
            </w:r>
          </w:p>
        </w:tc>
        <w:tc>
          <w:tcPr>
            <w:tcW w:w="1944" w:type="dxa"/>
            <w:tcBorders>
              <w:top w:val="nil"/>
              <w:left w:val="nil"/>
              <w:bottom w:val="single" w:sz="8" w:space="0" w:color="000000"/>
              <w:right w:val="single" w:sz="8" w:space="0" w:color="auto"/>
            </w:tcBorders>
            <w:tcMar>
              <w:top w:w="0" w:type="dxa"/>
              <w:left w:w="108" w:type="dxa"/>
              <w:bottom w:w="0" w:type="dxa"/>
              <w:right w:w="108" w:type="dxa"/>
            </w:tcMar>
            <w:hideMark/>
          </w:tcPr>
          <w:p w14:paraId="69FF83B2" w14:textId="77777777" w:rsidR="00016D36" w:rsidRPr="004C22EB" w:rsidRDefault="00016D36" w:rsidP="00016D36">
            <w:pPr>
              <w:spacing w:before="100" w:beforeAutospacing="1" w:after="100" w:afterAutospacing="1"/>
              <w:rPr>
                <w:rFonts w:eastAsia="Times New Roman" w:cs="Arial"/>
                <w:b/>
                <w:sz w:val="19"/>
                <w:szCs w:val="19"/>
                <w:lang w:eastAsia="en-GB"/>
              </w:rPr>
            </w:pPr>
            <w:r w:rsidRPr="004C22EB">
              <w:rPr>
                <w:rFonts w:eastAsia="Times New Roman" w:cs="Arial"/>
                <w:b/>
                <w:sz w:val="19"/>
                <w:szCs w:val="19"/>
                <w:lang w:eastAsia="en-GB"/>
              </w:rPr>
              <w:t>Conditions</w:t>
            </w:r>
          </w:p>
        </w:tc>
      </w:tr>
      <w:tr w:rsidR="00016D36" w:rsidRPr="004C22EB" w14:paraId="4B034D77" w14:textId="77777777" w:rsidTr="004B560C">
        <w:trPr>
          <w:cantSplit/>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9F725" w14:textId="77777777" w:rsidR="00016D36" w:rsidRPr="004C22EB" w:rsidRDefault="00016D36" w:rsidP="00016D36">
            <w:pPr>
              <w:spacing w:before="100" w:beforeAutospacing="1" w:after="100" w:afterAutospacing="1"/>
              <w:rPr>
                <w:rFonts w:eastAsia="Times New Roman" w:cs="Arial"/>
                <w:sz w:val="19"/>
                <w:szCs w:val="19"/>
                <w:lang w:eastAsia="en-GB"/>
              </w:rPr>
            </w:pPr>
            <w:r w:rsidRPr="004C22EB">
              <w:rPr>
                <w:rFonts w:eastAsia="Times New Roman" w:cs="Arial"/>
                <w:sz w:val="19"/>
                <w:szCs w:val="19"/>
                <w:lang w:eastAsia="en-GB"/>
              </w:rPr>
              <w:t>Saturated and trans fatty acids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EAB4C7D" w14:textId="77777777" w:rsidR="00016D36" w:rsidRPr="004C22EB" w:rsidRDefault="00016D36" w:rsidP="00016D36">
            <w:pPr>
              <w:spacing w:before="100" w:beforeAutospacing="1" w:after="100" w:afterAutospacing="1"/>
              <w:rPr>
                <w:rFonts w:eastAsia="Times New Roman" w:cs="Arial"/>
                <w:sz w:val="19"/>
                <w:szCs w:val="19"/>
                <w:lang w:eastAsia="en-GB"/>
              </w:rPr>
            </w:pPr>
            <w:r w:rsidRPr="004C22EB">
              <w:rPr>
                <w:rFonts w:eastAsia="Times New Roman" w:cs="Arial"/>
                <w:sz w:val="19"/>
                <w:szCs w:val="19"/>
                <w:lang w:eastAsia="en-GB"/>
              </w:rPr>
              <w:t>Reduces total blood cholesterol or blood LDL cholesterol</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CA22F99" w14:textId="77777777" w:rsidR="00016D36" w:rsidRPr="004C22EB" w:rsidRDefault="00016D36" w:rsidP="00016D36">
            <w:pPr>
              <w:spacing w:before="100" w:beforeAutospacing="1" w:after="100" w:afterAutospacing="1"/>
              <w:rPr>
                <w:rFonts w:eastAsia="Times New Roman" w:cs="Arial"/>
                <w:sz w:val="19"/>
                <w:szCs w:val="19"/>
                <w:lang w:eastAsia="en-GB"/>
              </w:rPr>
            </w:pPr>
            <w:r w:rsidRPr="004C22EB">
              <w:rPr>
                <w:rFonts w:eastAsia="Times New Roman" w:cs="Arial"/>
                <w:sz w:val="19"/>
                <w:szCs w:val="19"/>
                <w:lang w:eastAsia="en-GB"/>
              </w:rPr>
              <w:t> </w:t>
            </w:r>
          </w:p>
        </w:tc>
        <w:tc>
          <w:tcPr>
            <w:tcW w:w="1917" w:type="dxa"/>
            <w:tcBorders>
              <w:top w:val="nil"/>
              <w:left w:val="nil"/>
              <w:bottom w:val="single" w:sz="8" w:space="0" w:color="auto"/>
              <w:right w:val="single" w:sz="8" w:space="0" w:color="auto"/>
            </w:tcBorders>
            <w:tcMar>
              <w:top w:w="0" w:type="dxa"/>
              <w:left w:w="108" w:type="dxa"/>
              <w:bottom w:w="0" w:type="dxa"/>
              <w:right w:w="108" w:type="dxa"/>
            </w:tcMar>
            <w:hideMark/>
          </w:tcPr>
          <w:p w14:paraId="7508F8C4" w14:textId="77777777" w:rsidR="00016D36" w:rsidRPr="004C22EB" w:rsidRDefault="00016D36" w:rsidP="00016D36">
            <w:pPr>
              <w:spacing w:before="100" w:beforeAutospacing="1" w:after="100" w:afterAutospacing="1"/>
              <w:rPr>
                <w:rFonts w:eastAsia="Times New Roman" w:cs="Arial"/>
                <w:sz w:val="19"/>
                <w:szCs w:val="19"/>
                <w:lang w:eastAsia="en-GB"/>
              </w:rPr>
            </w:pPr>
            <w:r w:rsidRPr="004C22EB">
              <w:rPr>
                <w:rFonts w:eastAsia="Times New Roman" w:cs="Arial"/>
                <w:sz w:val="19"/>
                <w:szCs w:val="19"/>
                <w:lang w:eastAsia="en-GB"/>
              </w:rPr>
              <w:t>Diet low in saturated and trans fatty acids</w:t>
            </w: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14:paraId="743C5E87" w14:textId="77777777" w:rsidR="00016D36" w:rsidRPr="004C22EB" w:rsidRDefault="00016D36" w:rsidP="00016D36">
            <w:pPr>
              <w:spacing w:before="100" w:beforeAutospacing="1" w:after="100" w:afterAutospacing="1"/>
              <w:rPr>
                <w:rFonts w:eastAsia="Times New Roman" w:cs="Arial"/>
                <w:sz w:val="19"/>
                <w:szCs w:val="19"/>
                <w:lang w:eastAsia="en-GB"/>
              </w:rPr>
            </w:pPr>
            <w:r w:rsidRPr="004C22EB">
              <w:rPr>
                <w:rFonts w:eastAsia="Times New Roman" w:cs="Arial"/>
                <w:sz w:val="19"/>
                <w:szCs w:val="19"/>
                <w:lang w:eastAsia="en-GB"/>
              </w:rPr>
              <w:t>The food must meet the conditions for making a nutrition content claim about low saturated and trans fatty acids</w:t>
            </w:r>
          </w:p>
        </w:tc>
      </w:tr>
    </w:tbl>
    <w:p w14:paraId="6D124907" w14:textId="77777777" w:rsidR="001507A7" w:rsidRDefault="001507A7" w:rsidP="00DD6CC1"/>
    <w:p w14:paraId="1D57F4A3" w14:textId="09CC2F33" w:rsidR="001507A7" w:rsidRPr="004C22EB" w:rsidRDefault="001507A7" w:rsidP="001507A7">
      <w:r w:rsidRPr="004C22EB">
        <w:t>As part of a separate, but parallel process, FSANZ commissioned a review of the effects of TFA</w:t>
      </w:r>
      <w:r>
        <w:t>s</w:t>
      </w:r>
      <w:r w:rsidRPr="004C22EB">
        <w:t xml:space="preserve"> on various outcomes from the Edith Cowan University (ECU). To examine the effect of TFA</w:t>
      </w:r>
      <w:r>
        <w:t>s</w:t>
      </w:r>
      <w:r w:rsidRPr="004C22EB">
        <w:t xml:space="preserve"> on blood lipids, the ECU review </w:t>
      </w:r>
      <w:r>
        <w:t>(</w:t>
      </w:r>
      <w:proofErr w:type="spellStart"/>
      <w:r>
        <w:t>Hafekost</w:t>
      </w:r>
      <w:proofErr w:type="spellEnd"/>
      <w:r>
        <w:t xml:space="preserve"> et al.</w:t>
      </w:r>
      <w:r w:rsidRPr="004C22EB">
        <w:t xml:space="preserve"> 2014</w:t>
      </w:r>
      <w:r w:rsidR="00874C0E">
        <w:rPr>
          <w:rStyle w:val="FootnoteReference"/>
        </w:rPr>
        <w:footnoteReference w:id="2"/>
      </w:r>
      <w:r w:rsidRPr="004C22EB">
        <w:t xml:space="preserve">) updated an existing systematic review by </w:t>
      </w:r>
      <w:proofErr w:type="spellStart"/>
      <w:r w:rsidRPr="004C22EB">
        <w:t>Brouwer</w:t>
      </w:r>
      <w:proofErr w:type="spellEnd"/>
      <w:r w:rsidRPr="004C22EB">
        <w:t xml:space="preserve"> et al</w:t>
      </w:r>
      <w:r>
        <w:t>.</w:t>
      </w:r>
      <w:r w:rsidRPr="004C22EB">
        <w:t xml:space="preserve"> (2010) following the </w:t>
      </w:r>
      <w:r w:rsidRPr="004C22EB">
        <w:rPr>
          <w:rFonts w:cs="Arial"/>
        </w:rPr>
        <w:t xml:space="preserve">requirements of Schedule 6 in </w:t>
      </w:r>
      <w:r w:rsidR="00F6334A">
        <w:rPr>
          <w:rFonts w:cs="Arial"/>
        </w:rPr>
        <w:t xml:space="preserve">the </w:t>
      </w:r>
      <w:r w:rsidR="00F6334A" w:rsidRPr="00B22D02">
        <w:rPr>
          <w:rFonts w:cs="Arial"/>
        </w:rPr>
        <w:t>Code</w:t>
      </w:r>
      <w:r w:rsidRPr="000B2D9F">
        <w:rPr>
          <w:rFonts w:cs="Arial"/>
        </w:rPr>
        <w:t>.</w:t>
      </w:r>
      <w:r w:rsidRPr="004C22EB">
        <w:rPr>
          <w:rFonts w:cs="Arial"/>
        </w:rPr>
        <w:t xml:space="preserve"> The ECU report was received in July 2014 and placed on the FSANZ website in January 2015 after being submitted to the </w:t>
      </w:r>
      <w:r w:rsidRPr="004C22EB">
        <w:rPr>
          <w:rFonts w:cs="Arial"/>
          <w:lang w:val="en-US"/>
        </w:rPr>
        <w:t xml:space="preserve">Australia and New Zealand Ministerial Forum on Food Regulation </w:t>
      </w:r>
      <w:r w:rsidRPr="004C22EB">
        <w:rPr>
          <w:rFonts w:cs="Arial"/>
        </w:rPr>
        <w:t xml:space="preserve">as part of a report </w:t>
      </w:r>
      <w:r w:rsidR="00874C0E">
        <w:rPr>
          <w:rFonts w:cs="Arial"/>
        </w:rPr>
        <w:t>on the</w:t>
      </w:r>
      <w:r w:rsidR="00874C0E" w:rsidRPr="004C22EB">
        <w:rPr>
          <w:rFonts w:cs="Arial"/>
        </w:rPr>
        <w:t xml:space="preserve"> </w:t>
      </w:r>
      <w:r w:rsidRPr="004C22EB">
        <w:rPr>
          <w:rFonts w:cs="Arial"/>
        </w:rPr>
        <w:t xml:space="preserve">monitoring of TFA </w:t>
      </w:r>
      <w:r w:rsidR="00874C0E">
        <w:rPr>
          <w:rFonts w:cs="Arial"/>
        </w:rPr>
        <w:t>levels in foods</w:t>
      </w:r>
      <w:r w:rsidR="00874C0E" w:rsidRPr="004C22EB">
        <w:rPr>
          <w:rFonts w:cs="Arial"/>
        </w:rPr>
        <w:t xml:space="preserve"> </w:t>
      </w:r>
      <w:r w:rsidRPr="004C22EB">
        <w:rPr>
          <w:rFonts w:cs="Arial"/>
        </w:rPr>
        <w:t>in the two countries</w:t>
      </w:r>
      <w:r w:rsidR="00874C0E">
        <w:rPr>
          <w:rFonts w:cs="Arial"/>
        </w:rPr>
        <w:t>.</w:t>
      </w:r>
      <w:r w:rsidRPr="004C22EB">
        <w:t xml:space="preserve"> </w:t>
      </w:r>
    </w:p>
    <w:p w14:paraId="718884B4" w14:textId="77777777" w:rsidR="001507A7" w:rsidRDefault="001507A7" w:rsidP="00DD6CC1"/>
    <w:p w14:paraId="3FE51866" w14:textId="2BE64D9E" w:rsidR="00DD6CC1" w:rsidRPr="004C22EB" w:rsidRDefault="00DD6CC1" w:rsidP="00DD6CC1">
      <w:pPr>
        <w:rPr>
          <w:rFonts w:cs="Arial"/>
        </w:rPr>
      </w:pPr>
      <w:r w:rsidRPr="004C22EB">
        <w:t>The ECU report</w:t>
      </w:r>
      <w:r w:rsidR="004F016F" w:rsidRPr="004C22EB">
        <w:t xml:space="preserve"> </w:t>
      </w:r>
      <w:r w:rsidR="003A1064">
        <w:t>updates an existing review of the relationship between TFA and blood cholesterol concentrations (</w:t>
      </w:r>
      <w:proofErr w:type="spellStart"/>
      <w:r w:rsidR="003A1064">
        <w:t>Hafekost</w:t>
      </w:r>
      <w:proofErr w:type="spellEnd"/>
      <w:r w:rsidR="003A1064">
        <w:t xml:space="preserve"> et al. 2014)</w:t>
      </w:r>
      <w:r w:rsidRPr="004C22EB">
        <w:t xml:space="preserve">. </w:t>
      </w:r>
      <w:r w:rsidRPr="004C22EB">
        <w:rPr>
          <w:rFonts w:cs="Arial"/>
        </w:rPr>
        <w:t>This current document provides additional commentary on t</w:t>
      </w:r>
      <w:r w:rsidR="005D086F" w:rsidRPr="004C22EB">
        <w:rPr>
          <w:rFonts w:cs="Arial"/>
        </w:rPr>
        <w:t>hree</w:t>
      </w:r>
      <w:r w:rsidRPr="004C22EB">
        <w:rPr>
          <w:rFonts w:cs="Arial"/>
        </w:rPr>
        <w:t xml:space="preserve"> a</w:t>
      </w:r>
      <w:r w:rsidR="003A1064">
        <w:rPr>
          <w:rFonts w:cs="Arial"/>
        </w:rPr>
        <w:t>spects of this relationship.</w:t>
      </w:r>
      <w:r w:rsidRPr="004C22EB">
        <w:rPr>
          <w:rFonts w:cs="Arial"/>
        </w:rPr>
        <w:t xml:space="preserve"> </w:t>
      </w:r>
    </w:p>
    <w:p w14:paraId="52E5D187" w14:textId="77777777" w:rsidR="00DD6CC1" w:rsidRPr="004C22EB" w:rsidRDefault="00DD6CC1" w:rsidP="00DD6CC1">
      <w:pPr>
        <w:rPr>
          <w:rFonts w:cs="Arial"/>
        </w:rPr>
      </w:pPr>
    </w:p>
    <w:p w14:paraId="55A40507" w14:textId="104E91FA" w:rsidR="00DD6CC1" w:rsidRPr="004C22EB" w:rsidRDefault="00DD6CC1" w:rsidP="00DD6CC1">
      <w:pPr>
        <w:pStyle w:val="ListParagraph"/>
        <w:numPr>
          <w:ilvl w:val="0"/>
          <w:numId w:val="30"/>
        </w:numPr>
        <w:rPr>
          <w:rFonts w:cs="Arial"/>
        </w:rPr>
      </w:pPr>
      <w:r w:rsidRPr="004C22EB">
        <w:rPr>
          <w:rFonts w:cs="Arial"/>
        </w:rPr>
        <w:t>None of the existing reviews (</w:t>
      </w:r>
      <w:proofErr w:type="spellStart"/>
      <w:r w:rsidRPr="004C22EB">
        <w:rPr>
          <w:rFonts w:cs="Arial"/>
        </w:rPr>
        <w:t>Mensink</w:t>
      </w:r>
      <w:proofErr w:type="spellEnd"/>
      <w:r w:rsidRPr="004C22EB">
        <w:rPr>
          <w:rFonts w:cs="Arial"/>
        </w:rPr>
        <w:t xml:space="preserve"> et al, 2003; </w:t>
      </w:r>
      <w:proofErr w:type="spellStart"/>
      <w:r w:rsidRPr="004C22EB">
        <w:rPr>
          <w:rFonts w:cs="Arial"/>
        </w:rPr>
        <w:t>Mozaffarian</w:t>
      </w:r>
      <w:proofErr w:type="spellEnd"/>
      <w:r w:rsidRPr="004C22EB">
        <w:rPr>
          <w:rFonts w:cs="Arial"/>
        </w:rPr>
        <w:t xml:space="preserve"> and Clarke, 2009; </w:t>
      </w:r>
      <w:proofErr w:type="spellStart"/>
      <w:r w:rsidRPr="004C22EB">
        <w:rPr>
          <w:rFonts w:cs="Arial"/>
        </w:rPr>
        <w:t>Brouwer</w:t>
      </w:r>
      <w:proofErr w:type="spellEnd"/>
      <w:r w:rsidRPr="004C22EB">
        <w:rPr>
          <w:rFonts w:cs="Arial"/>
        </w:rPr>
        <w:t xml:space="preserve"> et al, 2010) examining the effect of TFA</w:t>
      </w:r>
      <w:r w:rsidR="00832709">
        <w:rPr>
          <w:rFonts w:cs="Arial"/>
        </w:rPr>
        <w:t>s</w:t>
      </w:r>
      <w:r w:rsidRPr="004C22EB">
        <w:rPr>
          <w:rFonts w:cs="Arial"/>
        </w:rPr>
        <w:t xml:space="preserve"> on total</w:t>
      </w:r>
      <w:r w:rsidR="00715D45">
        <w:rPr>
          <w:rFonts w:cs="Arial"/>
        </w:rPr>
        <w:t>-C</w:t>
      </w:r>
      <w:r w:rsidRPr="004C22EB">
        <w:rPr>
          <w:rFonts w:cs="Arial"/>
        </w:rPr>
        <w:t>, LDL</w:t>
      </w:r>
      <w:r w:rsidR="00715D45">
        <w:rPr>
          <w:rFonts w:cs="Arial"/>
        </w:rPr>
        <w:t>-C</w:t>
      </w:r>
      <w:r w:rsidRPr="004C22EB">
        <w:rPr>
          <w:rFonts w:cs="Arial"/>
        </w:rPr>
        <w:t xml:space="preserve"> or HDL</w:t>
      </w:r>
      <w:r w:rsidR="00D66A4F">
        <w:rPr>
          <w:rFonts w:cs="Arial"/>
        </w:rPr>
        <w:t xml:space="preserve">-C </w:t>
      </w:r>
      <w:r w:rsidRPr="004C22EB">
        <w:rPr>
          <w:rFonts w:cs="Arial"/>
        </w:rPr>
        <w:t xml:space="preserve">concentrations have specifically considered whether the effect is present in both </w:t>
      </w:r>
      <w:proofErr w:type="spellStart"/>
      <w:r w:rsidRPr="004C22EB">
        <w:rPr>
          <w:rFonts w:cs="Arial"/>
        </w:rPr>
        <w:t>normo</w:t>
      </w:r>
      <w:proofErr w:type="spellEnd"/>
      <w:r w:rsidRPr="004C22EB">
        <w:rPr>
          <w:rFonts w:cs="Arial"/>
        </w:rPr>
        <w:t xml:space="preserve">- and </w:t>
      </w:r>
      <w:proofErr w:type="spellStart"/>
      <w:r w:rsidRPr="004C22EB">
        <w:rPr>
          <w:rFonts w:cs="Arial"/>
        </w:rPr>
        <w:t>hypercholesterolaemic</w:t>
      </w:r>
      <w:proofErr w:type="spellEnd"/>
      <w:r w:rsidRPr="004C22EB">
        <w:rPr>
          <w:rFonts w:cs="Arial"/>
        </w:rPr>
        <w:t xml:space="preserve"> participants. This needs to be specifically considered for the context of examining the relationship for health claims purposes in Australia and New Zealand.</w:t>
      </w:r>
    </w:p>
    <w:p w14:paraId="1061C758" w14:textId="77777777" w:rsidR="00DD6CC1" w:rsidRPr="004C22EB" w:rsidRDefault="00DD6CC1" w:rsidP="00DD6CC1">
      <w:pPr>
        <w:rPr>
          <w:rFonts w:cs="Arial"/>
        </w:rPr>
      </w:pPr>
    </w:p>
    <w:p w14:paraId="122940BB" w14:textId="76CF0862" w:rsidR="00DD6CC1" w:rsidRPr="004C22EB" w:rsidRDefault="003A1064" w:rsidP="00DD6CC1">
      <w:pPr>
        <w:ind w:left="360"/>
      </w:pPr>
      <w:r>
        <w:t xml:space="preserve">In this review, </w:t>
      </w:r>
      <w:proofErr w:type="spellStart"/>
      <w:r>
        <w:t>h</w:t>
      </w:r>
      <w:r w:rsidR="00DD6CC1" w:rsidRPr="004C22EB">
        <w:t>ypercholesterolaemia</w:t>
      </w:r>
      <w:proofErr w:type="spellEnd"/>
      <w:r w:rsidR="00DD6CC1" w:rsidRPr="004C22EB">
        <w:t xml:space="preserve"> is de</w:t>
      </w:r>
      <w:r>
        <w:t>fined as</w:t>
      </w:r>
      <w:r w:rsidR="00DD6CC1" w:rsidRPr="004C22EB">
        <w:t xml:space="preserve"> total</w:t>
      </w:r>
      <w:r w:rsidR="00D66A4F">
        <w:t>-C</w:t>
      </w:r>
      <w:r w:rsidR="00DD6CC1" w:rsidRPr="004C22EB">
        <w:t xml:space="preserve"> concentrations </w:t>
      </w:r>
      <w:r w:rsidR="00DD6CC1" w:rsidRPr="004C22EB">
        <w:rPr>
          <w:rFonts w:cs="Arial"/>
        </w:rPr>
        <w:t>≥</w:t>
      </w:r>
      <w:r w:rsidR="00DD6CC1" w:rsidRPr="004C22EB">
        <w:t xml:space="preserve">5.5 </w:t>
      </w:r>
      <w:proofErr w:type="spellStart"/>
      <w:r w:rsidR="00DD6CC1" w:rsidRPr="004C22EB">
        <w:t>mmol</w:t>
      </w:r>
      <w:proofErr w:type="spellEnd"/>
      <w:r w:rsidR="00DD6CC1" w:rsidRPr="004C22EB">
        <w:t>/L</w:t>
      </w:r>
      <w:r w:rsidR="00FE4B9B" w:rsidRPr="004C22EB">
        <w:t xml:space="preserve"> (Therapeutic Goods Administration</w:t>
      </w:r>
      <w:r>
        <w:t xml:space="preserve"> Office of Complementary Medicine</w:t>
      </w:r>
      <w:r w:rsidR="00FE4B9B" w:rsidRPr="004C22EB">
        <w:t>, 2014)</w:t>
      </w:r>
      <w:r w:rsidR="00202CF8">
        <w:t xml:space="preserve">. </w:t>
      </w:r>
    </w:p>
    <w:p w14:paraId="53A4FD88" w14:textId="77777777" w:rsidR="00DD6CC1" w:rsidRPr="004C22EB" w:rsidRDefault="00DD6CC1" w:rsidP="00DD6CC1">
      <w:pPr>
        <w:ind w:left="360"/>
        <w:rPr>
          <w:rFonts w:cs="Arial"/>
        </w:rPr>
      </w:pPr>
    </w:p>
    <w:p w14:paraId="7B9F1BB3" w14:textId="2AD3C070" w:rsidR="00DD6CC1" w:rsidRDefault="000B2D9F" w:rsidP="00DD6CC1">
      <w:pPr>
        <w:pStyle w:val="ListParagraph"/>
        <w:numPr>
          <w:ilvl w:val="0"/>
          <w:numId w:val="30"/>
        </w:numPr>
        <w:rPr>
          <w:rFonts w:cs="Arial"/>
        </w:rPr>
      </w:pPr>
      <w:r>
        <w:rPr>
          <w:rFonts w:cs="Arial"/>
        </w:rPr>
        <w:t>Schedule 4</w:t>
      </w:r>
      <w:r w:rsidR="00DD6CC1" w:rsidRPr="004C22EB">
        <w:rPr>
          <w:rFonts w:cs="Arial"/>
        </w:rPr>
        <w:t xml:space="preserve"> lists total-C </w:t>
      </w:r>
      <w:r w:rsidR="003A1064">
        <w:rPr>
          <w:rFonts w:cs="Arial"/>
        </w:rPr>
        <w:t xml:space="preserve">and LDL-C </w:t>
      </w:r>
      <w:r w:rsidR="00DD6CC1" w:rsidRPr="004C22EB">
        <w:rPr>
          <w:rFonts w:cs="Arial"/>
        </w:rPr>
        <w:t>as health effect</w:t>
      </w:r>
      <w:r w:rsidR="003A1064">
        <w:rPr>
          <w:rFonts w:cs="Arial"/>
        </w:rPr>
        <w:t>s</w:t>
      </w:r>
      <w:r w:rsidR="00DD6CC1" w:rsidRPr="004C22EB">
        <w:rPr>
          <w:rFonts w:cs="Arial"/>
        </w:rPr>
        <w:t xml:space="preserve"> of </w:t>
      </w:r>
      <w:r w:rsidR="003A1064">
        <w:rPr>
          <w:rFonts w:cs="Arial"/>
        </w:rPr>
        <w:t xml:space="preserve">saturated and </w:t>
      </w:r>
      <w:r w:rsidR="00DD6CC1" w:rsidRPr="004C22EB">
        <w:rPr>
          <w:rFonts w:cs="Arial"/>
        </w:rPr>
        <w:t>TFA</w:t>
      </w:r>
      <w:r w:rsidR="003A1064">
        <w:rPr>
          <w:rFonts w:cs="Arial"/>
        </w:rPr>
        <w:t>s</w:t>
      </w:r>
      <w:r w:rsidR="00DD6CC1" w:rsidRPr="004C22EB">
        <w:rPr>
          <w:rFonts w:cs="Arial"/>
        </w:rPr>
        <w:t xml:space="preserve">. </w:t>
      </w:r>
      <w:r w:rsidR="005D086F" w:rsidRPr="004C22EB">
        <w:rPr>
          <w:rFonts w:cs="Arial"/>
        </w:rPr>
        <w:t xml:space="preserve">The </w:t>
      </w:r>
      <w:r w:rsidR="00D76EF6">
        <w:rPr>
          <w:rFonts w:cs="Arial"/>
        </w:rPr>
        <w:t>ECU</w:t>
      </w:r>
      <w:r w:rsidR="00DD6CC1" w:rsidRPr="004C22EB">
        <w:rPr>
          <w:rFonts w:cs="Arial"/>
        </w:rPr>
        <w:t xml:space="preserve"> review updated an existing systematic review that described the effect of TFA on each of </w:t>
      </w:r>
      <w:r w:rsidR="00DD6CC1" w:rsidRPr="004C22EB">
        <w:rPr>
          <w:rFonts w:cs="Arial"/>
        </w:rPr>
        <w:lastRenderedPageBreak/>
        <w:t xml:space="preserve">LDL-C and HDL-C but did not contain a review of the effect </w:t>
      </w:r>
      <w:r w:rsidR="00352386" w:rsidRPr="004C22EB">
        <w:rPr>
          <w:rFonts w:cs="Arial"/>
        </w:rPr>
        <w:t xml:space="preserve">of </w:t>
      </w:r>
      <w:r w:rsidR="00DD6CC1" w:rsidRPr="004C22EB">
        <w:rPr>
          <w:rFonts w:cs="Arial"/>
        </w:rPr>
        <w:t xml:space="preserve">TFA on total-C. Therefore the GRADE assigned by the ECU authors to </w:t>
      </w:r>
      <w:r w:rsidR="004F016F" w:rsidRPr="004C22EB">
        <w:rPr>
          <w:rFonts w:cs="Arial"/>
        </w:rPr>
        <w:t>the relationship with total-C,</w:t>
      </w:r>
      <w:r w:rsidR="00832709">
        <w:rPr>
          <w:rFonts w:cs="Arial"/>
        </w:rPr>
        <w:t xml:space="preserve"> of</w:t>
      </w:r>
      <w:r w:rsidR="004F016F" w:rsidRPr="004C22EB">
        <w:rPr>
          <w:rFonts w:cs="Arial"/>
        </w:rPr>
        <w:t xml:space="preserve"> ‘</w:t>
      </w:r>
      <w:r w:rsidR="00DD6CC1" w:rsidRPr="004C22EB">
        <w:rPr>
          <w:rFonts w:cs="Arial"/>
        </w:rPr>
        <w:t>Moderate</w:t>
      </w:r>
      <w:r w:rsidR="004F016F" w:rsidRPr="004C22EB">
        <w:rPr>
          <w:rFonts w:cs="Arial"/>
        </w:rPr>
        <w:t>’</w:t>
      </w:r>
      <w:r w:rsidR="00832709">
        <w:rPr>
          <w:rFonts w:cs="Arial"/>
        </w:rPr>
        <w:t>,</w:t>
      </w:r>
      <w:r w:rsidR="00DD6CC1" w:rsidRPr="004C22EB">
        <w:rPr>
          <w:rFonts w:cs="Arial"/>
        </w:rPr>
        <w:t xml:space="preserve"> was based on studies published between 2010</w:t>
      </w:r>
      <w:r w:rsidR="006A7CD6">
        <w:rPr>
          <w:rFonts w:cs="Arial"/>
        </w:rPr>
        <w:t xml:space="preserve"> and 20</w:t>
      </w:r>
      <w:r w:rsidR="00DD6CC1" w:rsidRPr="004C22EB">
        <w:rPr>
          <w:rFonts w:cs="Arial"/>
        </w:rPr>
        <w:t xml:space="preserve">14. The current paper considers whether the results of studies published prior to 2010 allow the GRADE for the relationship between </w:t>
      </w:r>
      <w:r w:rsidR="00832709">
        <w:rPr>
          <w:rFonts w:cs="Arial"/>
        </w:rPr>
        <w:t>TFAs</w:t>
      </w:r>
      <w:r w:rsidR="00DD6CC1" w:rsidRPr="004C22EB">
        <w:rPr>
          <w:rFonts w:cs="Arial"/>
        </w:rPr>
        <w:t xml:space="preserve"> and </w:t>
      </w:r>
      <w:r w:rsidR="004C22EB">
        <w:rPr>
          <w:rFonts w:cs="Arial"/>
        </w:rPr>
        <w:t>total-C</w:t>
      </w:r>
      <w:r w:rsidR="004F016F" w:rsidRPr="004C22EB">
        <w:rPr>
          <w:rFonts w:cs="Arial"/>
        </w:rPr>
        <w:t xml:space="preserve"> to be increased to ‘</w:t>
      </w:r>
      <w:r w:rsidR="00DD6CC1" w:rsidRPr="004C22EB">
        <w:rPr>
          <w:rFonts w:cs="Arial"/>
        </w:rPr>
        <w:t>High</w:t>
      </w:r>
      <w:r w:rsidR="004F016F" w:rsidRPr="004C22EB">
        <w:rPr>
          <w:rFonts w:cs="Arial"/>
        </w:rPr>
        <w:t>’</w:t>
      </w:r>
      <w:r w:rsidR="00DD6CC1" w:rsidRPr="004C22EB">
        <w:rPr>
          <w:rFonts w:cs="Arial"/>
        </w:rPr>
        <w:t xml:space="preserve">. </w:t>
      </w:r>
    </w:p>
    <w:p w14:paraId="6C715AF1" w14:textId="77777777" w:rsidR="00F97215" w:rsidRPr="004C22EB" w:rsidRDefault="00F97215" w:rsidP="00F97215">
      <w:pPr>
        <w:pStyle w:val="ListParagraph"/>
        <w:ind w:left="360"/>
        <w:rPr>
          <w:rFonts w:cs="Arial"/>
        </w:rPr>
      </w:pPr>
    </w:p>
    <w:p w14:paraId="21F6A54E" w14:textId="25420AC2" w:rsidR="005D086F" w:rsidRPr="004C22EB" w:rsidRDefault="005D086F" w:rsidP="00DD6CC1">
      <w:pPr>
        <w:pStyle w:val="ListParagraph"/>
        <w:numPr>
          <w:ilvl w:val="0"/>
          <w:numId w:val="30"/>
        </w:numPr>
        <w:rPr>
          <w:rFonts w:cs="Arial"/>
        </w:rPr>
      </w:pPr>
      <w:r w:rsidRPr="004C22EB">
        <w:rPr>
          <w:rFonts w:cs="Arial"/>
        </w:rPr>
        <w:t xml:space="preserve">The ECU review </w:t>
      </w:r>
      <w:r w:rsidR="00264BDC" w:rsidRPr="004C22EB">
        <w:rPr>
          <w:rFonts w:cs="Arial"/>
        </w:rPr>
        <w:t xml:space="preserve">combined </w:t>
      </w:r>
      <w:r w:rsidRPr="004C22EB">
        <w:rPr>
          <w:rFonts w:cs="Arial"/>
        </w:rPr>
        <w:t xml:space="preserve">the overall meta-analysis result of </w:t>
      </w:r>
      <w:proofErr w:type="spellStart"/>
      <w:r w:rsidRPr="004C22EB">
        <w:rPr>
          <w:rFonts w:cs="Arial"/>
        </w:rPr>
        <w:t>Brouwer</w:t>
      </w:r>
      <w:proofErr w:type="spellEnd"/>
      <w:r w:rsidRPr="004C22EB">
        <w:rPr>
          <w:rFonts w:cs="Arial"/>
        </w:rPr>
        <w:t xml:space="preserve"> et al</w:t>
      </w:r>
      <w:r w:rsidR="003A1064">
        <w:rPr>
          <w:rFonts w:cs="Arial"/>
        </w:rPr>
        <w:t>.</w:t>
      </w:r>
      <w:r w:rsidRPr="004C22EB">
        <w:rPr>
          <w:rFonts w:cs="Arial"/>
        </w:rPr>
        <w:t xml:space="preserve"> (2010) </w:t>
      </w:r>
      <w:r w:rsidR="00264BDC" w:rsidRPr="004C22EB">
        <w:rPr>
          <w:rFonts w:cs="Arial"/>
        </w:rPr>
        <w:t xml:space="preserve">with the additional studies identified in their update </w:t>
      </w:r>
      <w:r w:rsidRPr="004C22EB">
        <w:rPr>
          <w:rFonts w:cs="Arial"/>
        </w:rPr>
        <w:t>but did not specifically comment on the range of results across the studies</w:t>
      </w:r>
      <w:r w:rsidR="00264BDC" w:rsidRPr="004C22EB">
        <w:rPr>
          <w:rFonts w:cs="Arial"/>
        </w:rPr>
        <w:t xml:space="preserve"> included in </w:t>
      </w:r>
      <w:proofErr w:type="spellStart"/>
      <w:r w:rsidR="00264BDC" w:rsidRPr="004C22EB">
        <w:rPr>
          <w:rFonts w:cs="Arial"/>
        </w:rPr>
        <w:t>Brouwer</w:t>
      </w:r>
      <w:proofErr w:type="spellEnd"/>
      <w:r w:rsidR="00264BDC" w:rsidRPr="004C22EB">
        <w:rPr>
          <w:rFonts w:cs="Arial"/>
        </w:rPr>
        <w:t xml:space="preserve"> et al</w:t>
      </w:r>
      <w:r w:rsidR="00D76EF6">
        <w:rPr>
          <w:rFonts w:cs="Arial"/>
        </w:rPr>
        <w:t>.</w:t>
      </w:r>
      <w:r w:rsidR="00264BDC" w:rsidRPr="004C22EB">
        <w:rPr>
          <w:rFonts w:cs="Arial"/>
        </w:rPr>
        <w:t xml:space="preserve"> (2010)</w:t>
      </w:r>
      <w:r w:rsidRPr="004C22EB">
        <w:rPr>
          <w:rFonts w:cs="Arial"/>
        </w:rPr>
        <w:t>. This is presented below.</w:t>
      </w:r>
    </w:p>
    <w:p w14:paraId="0E305DCE" w14:textId="77777777" w:rsidR="00DD6CC1" w:rsidRPr="004C22EB" w:rsidRDefault="00DD6CC1" w:rsidP="000A2F8E"/>
    <w:p w14:paraId="708B71B6" w14:textId="7F4DBCAE" w:rsidR="00C925EA" w:rsidRPr="004C22EB" w:rsidRDefault="001C59FC" w:rsidP="000A2F8E">
      <w:r w:rsidRPr="004C22EB">
        <w:t xml:space="preserve">Using the ECU review and the supplementary information provided below, an overall conclusion is drawn </w:t>
      </w:r>
      <w:r w:rsidR="00DD6CC1" w:rsidRPr="004C22EB">
        <w:t>regarding the relationship of TFA</w:t>
      </w:r>
      <w:r w:rsidR="00832709">
        <w:t>s</w:t>
      </w:r>
      <w:r w:rsidR="00DD6CC1" w:rsidRPr="004C22EB">
        <w:t xml:space="preserve"> with total-C, LDL-C and HDL-C concentrations </w:t>
      </w:r>
      <w:r w:rsidR="004F016F" w:rsidRPr="004C22EB">
        <w:t xml:space="preserve">in all the studies and in studies </w:t>
      </w:r>
      <w:r w:rsidR="00D76EF6">
        <w:t>of</w:t>
      </w:r>
      <w:r w:rsidR="00D76EF6" w:rsidRPr="004C22EB">
        <w:t xml:space="preserve"> </w:t>
      </w:r>
      <w:r w:rsidR="00DD6CC1" w:rsidRPr="004C22EB">
        <w:t xml:space="preserve">people with normal cholesterol concentrations. </w:t>
      </w:r>
      <w:r w:rsidR="00F97215">
        <w:t xml:space="preserve">Although HDL-C is not listed in the </w:t>
      </w:r>
      <w:r w:rsidR="000B2D9F">
        <w:t xml:space="preserve">Schedule </w:t>
      </w:r>
      <w:r w:rsidR="00F97215">
        <w:t xml:space="preserve">as a health effect (Table 1), </w:t>
      </w:r>
      <w:r w:rsidR="00A42785">
        <w:t xml:space="preserve">FSANZ also assesses HDL-C when assessing total-C or LDL-C to check for possible adverse effects. </w:t>
      </w:r>
    </w:p>
    <w:p w14:paraId="455110A9" w14:textId="77777777" w:rsidR="00C87E84" w:rsidRPr="004C22EB" w:rsidRDefault="00C87E84" w:rsidP="009B1891">
      <w:pPr>
        <w:pStyle w:val="Heading1"/>
      </w:pPr>
      <w:bookmarkStart w:id="3" w:name="_Toc487100072"/>
      <w:r w:rsidRPr="004C22EB">
        <w:t>Overview of existing reviews</w:t>
      </w:r>
      <w:bookmarkEnd w:id="3"/>
    </w:p>
    <w:p w14:paraId="51F9003B" w14:textId="738F237B" w:rsidR="00C87E84" w:rsidRPr="004C22EB" w:rsidRDefault="00C87E84" w:rsidP="00C87E84">
      <w:pPr>
        <w:rPr>
          <w:rFonts w:cs="Arial"/>
        </w:rPr>
      </w:pPr>
      <w:r w:rsidRPr="004C22EB">
        <w:rPr>
          <w:rFonts w:cs="Arial"/>
        </w:rPr>
        <w:t>Over time, the focus of clinical management of cholesterol concentrations has changed from using total-C as the screening parameter to a greater emphasis on sub-fractions (i.e. ‘bad cholesterol’ versus ‘good c</w:t>
      </w:r>
      <w:r w:rsidR="00832709">
        <w:rPr>
          <w:rFonts w:cs="Arial"/>
        </w:rPr>
        <w:t xml:space="preserve">holesterol’) and their ratios. </w:t>
      </w:r>
      <w:r w:rsidRPr="004C22EB">
        <w:rPr>
          <w:rFonts w:cs="Arial"/>
        </w:rPr>
        <w:t xml:space="preserve">This may explain why earlier reviews included total-C and more recent reviews of the effects of TFAs have focused on sub-fractions and their ratios and have not always included total-C in their analysis. Although there are a number of reviews of the effects of </w:t>
      </w:r>
      <w:r w:rsidR="009B1891" w:rsidRPr="004C22EB">
        <w:rPr>
          <w:rFonts w:cs="Arial"/>
        </w:rPr>
        <w:t>TFA</w:t>
      </w:r>
      <w:r w:rsidR="00546B3C">
        <w:rPr>
          <w:rFonts w:cs="Arial"/>
        </w:rPr>
        <w:t>s</w:t>
      </w:r>
      <w:r w:rsidRPr="004C22EB">
        <w:rPr>
          <w:rFonts w:cs="Arial"/>
        </w:rPr>
        <w:t xml:space="preserve"> on blood lipid fractions, a number of these reviews </w:t>
      </w:r>
      <w:r w:rsidR="00E92FFB">
        <w:rPr>
          <w:rFonts w:cs="Arial"/>
        </w:rPr>
        <w:t xml:space="preserve">also </w:t>
      </w:r>
      <w:r w:rsidRPr="004C22EB">
        <w:rPr>
          <w:rFonts w:cs="Arial"/>
        </w:rPr>
        <w:t xml:space="preserve">focus on lipid ratios. FSANZ identified three reviews that report total-C and/or LDL-C and/or HDL-C. </w:t>
      </w:r>
      <w:r w:rsidR="003718D6" w:rsidRPr="004C22EB">
        <w:rPr>
          <w:rFonts w:cs="Arial"/>
        </w:rPr>
        <w:t>The studies included in the three reviews discussed below</w:t>
      </w:r>
      <w:r w:rsidR="00832709">
        <w:rPr>
          <w:rFonts w:cs="Arial"/>
        </w:rPr>
        <w:t>,</w:t>
      </w:r>
      <w:r w:rsidR="003718D6" w:rsidRPr="004C22EB">
        <w:rPr>
          <w:rFonts w:cs="Arial"/>
        </w:rPr>
        <w:t xml:space="preserve"> are given in Table 2. They are classified as having been done in normocholesterolaemic populations if mean baseline total</w:t>
      </w:r>
      <w:r w:rsidR="00D66A4F">
        <w:rPr>
          <w:rFonts w:cs="Arial"/>
        </w:rPr>
        <w:t>-C</w:t>
      </w:r>
      <w:r w:rsidR="003718D6" w:rsidRPr="004C22EB">
        <w:rPr>
          <w:rFonts w:cs="Arial"/>
        </w:rPr>
        <w:t xml:space="preserve"> concentration was &lt;5.5</w:t>
      </w:r>
      <w:r w:rsidR="00C26EC8">
        <w:rPr>
          <w:rFonts w:cs="Arial"/>
        </w:rPr>
        <w:t xml:space="preserve"> </w:t>
      </w:r>
      <w:proofErr w:type="spellStart"/>
      <w:r w:rsidR="003718D6" w:rsidRPr="004C22EB">
        <w:rPr>
          <w:rFonts w:cs="Arial"/>
        </w:rPr>
        <w:t>mmol</w:t>
      </w:r>
      <w:proofErr w:type="spellEnd"/>
      <w:r w:rsidR="003718D6" w:rsidRPr="004C22EB">
        <w:rPr>
          <w:rFonts w:cs="Arial"/>
        </w:rPr>
        <w:t>/L.</w:t>
      </w:r>
    </w:p>
    <w:p w14:paraId="588AB34B" w14:textId="77777777" w:rsidR="00C87E84" w:rsidRDefault="00C87E84" w:rsidP="00C87E84">
      <w:pPr>
        <w:rPr>
          <w:rFonts w:cs="Arial"/>
          <w:u w:val="single"/>
        </w:rPr>
      </w:pPr>
    </w:p>
    <w:p w14:paraId="5C0D389C" w14:textId="7FEA68CF" w:rsidR="00C87E84" w:rsidRPr="004C22EB" w:rsidRDefault="00C87E84" w:rsidP="004B560C">
      <w:pPr>
        <w:pStyle w:val="Heading2"/>
      </w:pPr>
      <w:bookmarkStart w:id="4" w:name="_Toc487100073"/>
      <w:proofErr w:type="spellStart"/>
      <w:r w:rsidRPr="004C22EB">
        <w:t>Mensink</w:t>
      </w:r>
      <w:proofErr w:type="spellEnd"/>
      <w:r w:rsidRPr="004C22EB">
        <w:t xml:space="preserve"> et al</w:t>
      </w:r>
      <w:r w:rsidR="00832709">
        <w:t>.</w:t>
      </w:r>
      <w:r w:rsidRPr="004C22EB">
        <w:t xml:space="preserve"> 2003</w:t>
      </w:r>
      <w:bookmarkEnd w:id="4"/>
    </w:p>
    <w:p w14:paraId="291FD772" w14:textId="4274C2BD" w:rsidR="00C87E84" w:rsidRPr="004C22EB" w:rsidRDefault="00C87E84" w:rsidP="00C87E84">
      <w:pPr>
        <w:rPr>
          <w:rFonts w:cs="Arial"/>
        </w:rPr>
      </w:pPr>
      <w:r w:rsidRPr="004C22EB">
        <w:rPr>
          <w:rFonts w:cs="Arial"/>
        </w:rPr>
        <w:t xml:space="preserve">This review described the effect of exchanging different classes of fatty acids, and individual fatty acids, for each other or for carbohydrate, on an </w:t>
      </w:r>
      <w:proofErr w:type="spellStart"/>
      <w:r w:rsidRPr="004C22EB">
        <w:rPr>
          <w:rFonts w:cs="Arial"/>
        </w:rPr>
        <w:t>isoenergetic</w:t>
      </w:r>
      <w:proofErr w:type="spellEnd"/>
      <w:r w:rsidRPr="004C22EB">
        <w:rPr>
          <w:rFonts w:cs="Arial"/>
        </w:rPr>
        <w:t xml:space="preserve"> basis. It was the first review to specifically quantify the effect of TFAs on cholesterol concentrations. The following inclusion</w:t>
      </w:r>
      <w:r w:rsidR="00546B3C">
        <w:rPr>
          <w:rFonts w:cs="Arial"/>
        </w:rPr>
        <w:t>/exclusion</w:t>
      </w:r>
      <w:r w:rsidRPr="004C22EB">
        <w:rPr>
          <w:rFonts w:cs="Arial"/>
        </w:rPr>
        <w:t xml:space="preserve"> criteria and search information </w:t>
      </w:r>
      <w:r w:rsidR="00352386" w:rsidRPr="004C22EB">
        <w:rPr>
          <w:rFonts w:cs="Arial"/>
        </w:rPr>
        <w:t xml:space="preserve">were </w:t>
      </w:r>
      <w:r w:rsidRPr="004C22EB">
        <w:rPr>
          <w:rFonts w:cs="Arial"/>
        </w:rPr>
        <w:t>described by the authors:</w:t>
      </w:r>
    </w:p>
    <w:p w14:paraId="4598E9D0" w14:textId="3A01C758" w:rsidR="00C87E84" w:rsidRPr="00AB2D39" w:rsidRDefault="00C87E84" w:rsidP="004B560C">
      <w:pPr>
        <w:pStyle w:val="FSBullet1"/>
        <w:rPr>
          <w:lang w:val="en" w:eastAsia="en-GB"/>
        </w:rPr>
      </w:pPr>
      <w:r w:rsidRPr="00AB2D39">
        <w:rPr>
          <w:lang w:val="en" w:eastAsia="en-GB"/>
        </w:rPr>
        <w:t xml:space="preserve">adults </w:t>
      </w:r>
      <w:r w:rsidR="00832709" w:rsidRPr="00AB2D39">
        <w:rPr>
          <w:lang w:val="en" w:eastAsia="en-GB"/>
        </w:rPr>
        <w:t>(</w:t>
      </w:r>
      <w:r w:rsidRPr="00AB2D39">
        <w:rPr>
          <w:lang w:val="en" w:eastAsia="en-GB"/>
        </w:rPr>
        <w:t>&gt; 17 y) without disturbances of lipid metabolism or diabetes</w:t>
      </w:r>
    </w:p>
    <w:p w14:paraId="164EA04A" w14:textId="77777777" w:rsidR="00C87E84" w:rsidRPr="00AB2D39" w:rsidRDefault="00C87E84" w:rsidP="004B560C">
      <w:pPr>
        <w:pStyle w:val="FSBullet1"/>
        <w:rPr>
          <w:lang w:val="en" w:eastAsia="en-GB"/>
        </w:rPr>
      </w:pPr>
      <w:r w:rsidRPr="00AB2D39">
        <w:rPr>
          <w:lang w:val="en" w:eastAsia="en-GB"/>
        </w:rPr>
        <w:t xml:space="preserve">food intake thoroughly controlled and described, with dietary fatty acids as the sole variable; cholesterol intake had to be constant, by adding dietary cholesterol to some trial arm diets if necessary; excluded studies focused on very-long-chain (n−3) polyunsaturated fatty acids </w:t>
      </w:r>
    </w:p>
    <w:p w14:paraId="6167F48C" w14:textId="77777777" w:rsidR="00C87E84" w:rsidRPr="00AB2D39" w:rsidRDefault="00C87E84" w:rsidP="004B560C">
      <w:pPr>
        <w:pStyle w:val="FSBullet1"/>
        <w:rPr>
          <w:lang w:val="en" w:eastAsia="en-GB"/>
        </w:rPr>
      </w:pPr>
      <w:r w:rsidRPr="00AB2D39">
        <w:rPr>
          <w:lang w:val="en" w:eastAsia="en-GB"/>
        </w:rPr>
        <w:t>feeding periods &gt; 13 days</w:t>
      </w:r>
    </w:p>
    <w:p w14:paraId="6C1D8B81" w14:textId="28634767" w:rsidR="00C87E84" w:rsidRPr="00AB2D39" w:rsidRDefault="00C87E84" w:rsidP="004B560C">
      <w:pPr>
        <w:pStyle w:val="FSBullet1"/>
        <w:rPr>
          <w:lang w:val="en" w:eastAsia="en-GB"/>
        </w:rPr>
      </w:pPr>
      <w:r w:rsidRPr="00AB2D39">
        <w:rPr>
          <w:lang w:val="en" w:eastAsia="en-GB"/>
        </w:rPr>
        <w:t xml:space="preserve">outcomes: </w:t>
      </w:r>
      <w:r w:rsidR="00546B3C" w:rsidRPr="00AB2D39">
        <w:rPr>
          <w:lang w:val="en" w:eastAsia="en-GB"/>
        </w:rPr>
        <w:t>total- C</w:t>
      </w:r>
      <w:r w:rsidRPr="00AB2D39">
        <w:rPr>
          <w:lang w:val="en" w:eastAsia="en-GB"/>
        </w:rPr>
        <w:t xml:space="preserve"> and sub-fractions (LDL-C, HDL-C)</w:t>
      </w:r>
    </w:p>
    <w:p w14:paraId="447DBC3D" w14:textId="77777777" w:rsidR="00C87E84" w:rsidRPr="00AB2D39" w:rsidRDefault="00C87E84" w:rsidP="004B560C">
      <w:pPr>
        <w:pStyle w:val="FSBullet1"/>
        <w:rPr>
          <w:lang w:val="en" w:eastAsia="en-GB"/>
        </w:rPr>
      </w:pPr>
      <w:r w:rsidRPr="00AB2D39">
        <w:rPr>
          <w:lang w:val="en" w:eastAsia="en-GB"/>
        </w:rPr>
        <w:t>original research studies published in English between January 1970 and December 1998 were selected through a computer-assisted literature search, reference lists scanned and hand-searching of (unspecified) journals</w:t>
      </w:r>
    </w:p>
    <w:p w14:paraId="26AB4B0D" w14:textId="47A08521" w:rsidR="00C87E84" w:rsidRPr="00AB2D39" w:rsidRDefault="00AB2D39" w:rsidP="004B560C">
      <w:pPr>
        <w:pStyle w:val="FSBullet1"/>
        <w:rPr>
          <w:lang w:val="en" w:eastAsia="en-GB"/>
        </w:rPr>
      </w:pPr>
      <w:proofErr w:type="gramStart"/>
      <w:r>
        <w:rPr>
          <w:lang w:val="en" w:eastAsia="en-GB"/>
        </w:rPr>
        <w:t>parallel</w:t>
      </w:r>
      <w:proofErr w:type="gramEnd"/>
      <w:r>
        <w:rPr>
          <w:lang w:val="en" w:eastAsia="en-GB"/>
        </w:rPr>
        <w:t xml:space="preserve">, </w:t>
      </w:r>
      <w:r w:rsidR="00C87E84" w:rsidRPr="00AB2D39">
        <w:rPr>
          <w:lang w:val="en" w:eastAsia="en-GB"/>
        </w:rPr>
        <w:t xml:space="preserve">crossover, or Latin-square design included; before-and-after (sequential) designs that lacked a control group excluded. </w:t>
      </w:r>
    </w:p>
    <w:p w14:paraId="146AF1DD" w14:textId="77777777" w:rsidR="00C87E84" w:rsidRPr="00AB2D39" w:rsidRDefault="00C87E84" w:rsidP="00C87E84">
      <w:pPr>
        <w:shd w:val="clear" w:color="auto" w:fill="FFFFFF"/>
        <w:jc w:val="both"/>
        <w:rPr>
          <w:rFonts w:eastAsia="Times New Roman" w:cs="Arial"/>
          <w:color w:val="000000" w:themeColor="text1"/>
          <w:lang w:val="en" w:eastAsia="en-GB"/>
        </w:rPr>
      </w:pPr>
    </w:p>
    <w:p w14:paraId="65CD7157" w14:textId="5BB6F1C4" w:rsidR="00C87E84" w:rsidRPr="00AB2D39" w:rsidRDefault="00C87E84" w:rsidP="00C87E84">
      <w:pPr>
        <w:shd w:val="clear" w:color="auto" w:fill="FFFFFF"/>
        <w:jc w:val="both"/>
        <w:rPr>
          <w:rFonts w:eastAsia="Times New Roman" w:cs="Arial"/>
          <w:color w:val="000000" w:themeColor="text1"/>
          <w:lang w:val="en" w:eastAsia="en-GB"/>
        </w:rPr>
      </w:pPr>
      <w:r w:rsidRPr="00AB2D39">
        <w:rPr>
          <w:rFonts w:eastAsia="Times New Roman" w:cs="Arial"/>
          <w:color w:val="000000" w:themeColor="text1"/>
          <w:lang w:val="en" w:eastAsia="en-GB"/>
        </w:rPr>
        <w:t>The authors identified 60 trials which yielded 159 data points that met their criteria. Of these, eight trials gave 18 data points for TFAs. Only one of these studies was published prior to 1990</w:t>
      </w:r>
      <w:r w:rsidR="00202CF8">
        <w:rPr>
          <w:rFonts w:eastAsia="Times New Roman" w:cs="Arial"/>
          <w:color w:val="000000" w:themeColor="text1"/>
          <w:lang w:val="en" w:eastAsia="en-GB"/>
        </w:rPr>
        <w:t xml:space="preserve">. </w:t>
      </w:r>
    </w:p>
    <w:p w14:paraId="15821071" w14:textId="77777777" w:rsidR="00C87E84" w:rsidRDefault="00C87E84" w:rsidP="00C87E84">
      <w:pPr>
        <w:shd w:val="clear" w:color="auto" w:fill="FFFFFF"/>
        <w:jc w:val="both"/>
        <w:rPr>
          <w:rFonts w:eastAsia="Times New Roman" w:cs="Arial"/>
          <w:color w:val="403838"/>
          <w:lang w:val="en" w:eastAsia="en-GB"/>
        </w:rPr>
      </w:pPr>
    </w:p>
    <w:p w14:paraId="39BD7FDD" w14:textId="77777777" w:rsidR="00C87E84" w:rsidRPr="004C22EB" w:rsidRDefault="00C87E84" w:rsidP="004B560C">
      <w:pPr>
        <w:pStyle w:val="Heading2"/>
      </w:pPr>
      <w:bookmarkStart w:id="5" w:name="_Toc487100074"/>
      <w:proofErr w:type="spellStart"/>
      <w:r w:rsidRPr="004C22EB">
        <w:t>Mozaffarian</w:t>
      </w:r>
      <w:proofErr w:type="spellEnd"/>
      <w:r w:rsidRPr="004C22EB">
        <w:t xml:space="preserve"> and Clarke 2009</w:t>
      </w:r>
      <w:bookmarkEnd w:id="5"/>
    </w:p>
    <w:p w14:paraId="35DF1FB2" w14:textId="77777777" w:rsidR="00C87E84" w:rsidRPr="004C22EB" w:rsidRDefault="00C87E84" w:rsidP="00C87E84">
      <w:pPr>
        <w:rPr>
          <w:rFonts w:cs="Arial"/>
        </w:rPr>
      </w:pPr>
    </w:p>
    <w:p w14:paraId="4BCFC468" w14:textId="55D23109" w:rsidR="00C87E84" w:rsidRPr="004C22EB" w:rsidRDefault="00C87E84" w:rsidP="00C87E84">
      <w:pPr>
        <w:rPr>
          <w:rFonts w:cs="Arial"/>
        </w:rPr>
      </w:pPr>
      <w:r w:rsidRPr="004C22EB">
        <w:rPr>
          <w:rFonts w:cs="Arial"/>
        </w:rPr>
        <w:t>This review of the randomised controlled trials reporting a range of serum lipid-related outcomes was conducted as part of a WHO Scientific Update on Trans Fatty Acids (</w:t>
      </w:r>
      <w:hyperlink r:id="rId19" w:history="1">
        <w:r w:rsidRPr="004C22EB">
          <w:rPr>
            <w:rStyle w:val="Hyperlink"/>
            <w:rFonts w:cs="Arial"/>
          </w:rPr>
          <w:t>http://www.who.int/nutrition/topics/trans_fatty_acids/en/</w:t>
        </w:r>
      </w:hyperlink>
      <w:r w:rsidRPr="004C22EB">
        <w:rPr>
          <w:rFonts w:cs="Arial"/>
        </w:rPr>
        <w:t xml:space="preserve">). </w:t>
      </w:r>
      <w:r w:rsidR="00546B3C" w:rsidRPr="004C22EB">
        <w:rPr>
          <w:rFonts w:cs="Arial"/>
        </w:rPr>
        <w:t>The</w:t>
      </w:r>
      <w:r w:rsidR="00546B3C">
        <w:rPr>
          <w:rFonts w:cs="Arial"/>
        </w:rPr>
        <w:t xml:space="preserve"> following </w:t>
      </w:r>
      <w:r w:rsidRPr="004C22EB">
        <w:rPr>
          <w:rFonts w:cs="Arial"/>
        </w:rPr>
        <w:t>inclusion</w:t>
      </w:r>
      <w:r w:rsidR="00546B3C">
        <w:rPr>
          <w:rFonts w:cs="Arial"/>
        </w:rPr>
        <w:t>/exclusion</w:t>
      </w:r>
      <w:r w:rsidRPr="004C22EB">
        <w:rPr>
          <w:rFonts w:cs="Arial"/>
        </w:rPr>
        <w:t xml:space="preserve"> criteria were</w:t>
      </w:r>
      <w:r w:rsidR="00546B3C">
        <w:rPr>
          <w:rFonts w:cs="Arial"/>
        </w:rPr>
        <w:t xml:space="preserve"> described by the authors</w:t>
      </w:r>
      <w:r w:rsidRPr="004C22EB">
        <w:rPr>
          <w:rFonts w:cs="Arial"/>
        </w:rPr>
        <w:t>:</w:t>
      </w:r>
    </w:p>
    <w:p w14:paraId="7CAEB453" w14:textId="7BB00520" w:rsidR="00C87E84" w:rsidRPr="004C22EB" w:rsidRDefault="00C87E84" w:rsidP="004B560C">
      <w:pPr>
        <w:pStyle w:val="FSBullet1"/>
      </w:pPr>
      <w:r w:rsidRPr="004C22EB">
        <w:rPr>
          <w:lang w:val="en" w:eastAsia="en-GB"/>
        </w:rPr>
        <w:t xml:space="preserve">studies excluded if they were of subjects selected for some disorder (such as diabetes or </w:t>
      </w:r>
      <w:proofErr w:type="spellStart"/>
      <w:r w:rsidRPr="004C22EB">
        <w:rPr>
          <w:lang w:val="en" w:eastAsia="en-GB"/>
        </w:rPr>
        <w:t>dyslipidaemia</w:t>
      </w:r>
      <w:proofErr w:type="spellEnd"/>
      <w:r w:rsidRPr="004C22EB">
        <w:rPr>
          <w:lang w:val="en" w:eastAsia="en-GB"/>
        </w:rPr>
        <w:t>), changes in body weight were not part of the exclusion criteria</w:t>
      </w:r>
    </w:p>
    <w:p w14:paraId="5548DF98" w14:textId="74202E22" w:rsidR="00C87E84" w:rsidRPr="004C22EB" w:rsidRDefault="00C87E84" w:rsidP="004B560C">
      <w:pPr>
        <w:pStyle w:val="FSBullet1"/>
      </w:pPr>
      <w:r w:rsidRPr="004C22EB">
        <w:rPr>
          <w:lang w:val="en" w:eastAsia="en-GB"/>
        </w:rPr>
        <w:t>controlled conditions that ensured compliance (metabolic ward studies</w:t>
      </w:r>
      <w:r w:rsidR="00AB2D39">
        <w:rPr>
          <w:lang w:val="en" w:eastAsia="en-GB"/>
        </w:rPr>
        <w:t>,</w:t>
      </w:r>
      <w:r w:rsidRPr="004C22EB">
        <w:t xml:space="preserve"> </w:t>
      </w:r>
      <w:r w:rsidRPr="004C22EB">
        <w:rPr>
          <w:lang w:val="en" w:eastAsia="en-GB"/>
        </w:rPr>
        <w:t>data about dietary fatty acids or dietary cholesterol reported); interventions with liquid formula diets excluded from the main analysis</w:t>
      </w:r>
    </w:p>
    <w:p w14:paraId="67B6A568" w14:textId="77777777" w:rsidR="00C87E84" w:rsidRPr="004C22EB" w:rsidRDefault="00C87E84" w:rsidP="004B560C">
      <w:pPr>
        <w:pStyle w:val="FSBullet1"/>
      </w:pPr>
      <w:r w:rsidRPr="004C22EB">
        <w:t>each dietary period lasted at least 2 weeks</w:t>
      </w:r>
    </w:p>
    <w:p w14:paraId="64F462CB" w14:textId="2AC19B2E" w:rsidR="00C87E84" w:rsidRPr="004C22EB" w:rsidRDefault="00C87E84" w:rsidP="004B560C">
      <w:pPr>
        <w:pStyle w:val="FSBullet1"/>
      </w:pPr>
      <w:r w:rsidRPr="004C22EB">
        <w:t xml:space="preserve">outcomes: </w:t>
      </w:r>
      <w:r w:rsidR="00546B3C">
        <w:t>total-C</w:t>
      </w:r>
      <w:r w:rsidR="00546B3C" w:rsidRPr="004C22EB">
        <w:t xml:space="preserve"> </w:t>
      </w:r>
      <w:r w:rsidRPr="004C22EB">
        <w:t>and fractions, apolipoproteins measured at the end of each intervention</w:t>
      </w:r>
    </w:p>
    <w:p w14:paraId="0E7EE1B0" w14:textId="2BE3DD3B" w:rsidR="00C87E84" w:rsidRPr="004C22EB" w:rsidRDefault="00C87E84" w:rsidP="004B560C">
      <w:pPr>
        <w:pStyle w:val="FSBullet1"/>
      </w:pPr>
      <w:r w:rsidRPr="004C22EB">
        <w:rPr>
          <w:lang w:val="en" w:eastAsia="en-GB"/>
        </w:rPr>
        <w:t xml:space="preserve">Medline searches, scanning relevant reference lists, and </w:t>
      </w:r>
      <w:r w:rsidR="00AB2D39" w:rsidRPr="004C22EB">
        <w:rPr>
          <w:lang w:val="en" w:eastAsia="en-GB"/>
        </w:rPr>
        <w:t>hand searching</w:t>
      </w:r>
      <w:r w:rsidRPr="004C22EB">
        <w:rPr>
          <w:lang w:val="en" w:eastAsia="en-GB"/>
        </w:rPr>
        <w:t xml:space="preserve"> nutrition journals through January 2008</w:t>
      </w:r>
    </w:p>
    <w:p w14:paraId="34A4CB8B" w14:textId="1E71930D" w:rsidR="00C87E84" w:rsidRPr="004C22EB" w:rsidRDefault="00C87E84" w:rsidP="004B560C">
      <w:pPr>
        <w:pStyle w:val="FSBullet1"/>
      </w:pPr>
      <w:proofErr w:type="gramStart"/>
      <w:r w:rsidRPr="004C22EB">
        <w:t>crossover</w:t>
      </w:r>
      <w:proofErr w:type="gramEnd"/>
      <w:r w:rsidRPr="004C22EB">
        <w:t xml:space="preserve"> or parallel design randomized trials</w:t>
      </w:r>
      <w:r w:rsidR="00546B3C">
        <w:t>.</w:t>
      </w:r>
    </w:p>
    <w:p w14:paraId="6A4F8F34" w14:textId="53BAADA9" w:rsidR="00C87E84" w:rsidRPr="004C22EB" w:rsidRDefault="00C87E84" w:rsidP="004B560C">
      <w:pPr>
        <w:pStyle w:val="Heading2"/>
      </w:pPr>
      <w:bookmarkStart w:id="6" w:name="_Toc487100075"/>
      <w:proofErr w:type="spellStart"/>
      <w:r w:rsidRPr="004C22EB">
        <w:t>Brouwer</w:t>
      </w:r>
      <w:proofErr w:type="spellEnd"/>
      <w:r w:rsidRPr="004C22EB">
        <w:t xml:space="preserve"> et al</w:t>
      </w:r>
      <w:r w:rsidR="00546B3C">
        <w:t>.</w:t>
      </w:r>
      <w:r w:rsidRPr="004C22EB">
        <w:t xml:space="preserve"> 2010</w:t>
      </w:r>
      <w:bookmarkEnd w:id="6"/>
    </w:p>
    <w:p w14:paraId="6E266C40" w14:textId="6A6109EF" w:rsidR="00C87E84" w:rsidRPr="004C22EB" w:rsidRDefault="00C87E84" w:rsidP="00546B3C">
      <w:pPr>
        <w:autoSpaceDE w:val="0"/>
        <w:autoSpaceDN w:val="0"/>
        <w:adjustRightInd w:val="0"/>
        <w:rPr>
          <w:rFonts w:cs="Arial"/>
        </w:rPr>
      </w:pPr>
      <w:r w:rsidRPr="004C22EB">
        <w:rPr>
          <w:rFonts w:cs="Arial"/>
        </w:rPr>
        <w:t xml:space="preserve">By the time this review was done, the body of research had expanded to include studies of the effect of TFAs found in ruminant foods and also synthetic preparations of various isomers of conjugated linoleic acid (CLA), a fatty acid with one cis bond and one </w:t>
      </w:r>
      <w:proofErr w:type="gramStart"/>
      <w:r w:rsidRPr="004C22EB">
        <w:rPr>
          <w:rFonts w:cs="Arial"/>
        </w:rPr>
        <w:t>trans</w:t>
      </w:r>
      <w:proofErr w:type="gramEnd"/>
      <w:r w:rsidRPr="004C22EB">
        <w:rPr>
          <w:rFonts w:cs="Arial"/>
        </w:rPr>
        <w:t xml:space="preserve"> bond. One CLA isomer – cis-9, trans-11 – is found in ruminant and dairy fat. The</w:t>
      </w:r>
      <w:r w:rsidR="00546B3C">
        <w:rPr>
          <w:rFonts w:cs="Arial"/>
        </w:rPr>
        <w:t xml:space="preserve"> following inclusion/exclusion</w:t>
      </w:r>
      <w:r w:rsidRPr="004C22EB">
        <w:rPr>
          <w:rFonts w:cs="Arial"/>
        </w:rPr>
        <w:t xml:space="preserve"> criteria were</w:t>
      </w:r>
      <w:r w:rsidR="00546B3C">
        <w:rPr>
          <w:rFonts w:cs="Arial"/>
        </w:rPr>
        <w:t xml:space="preserve"> described by the authors</w:t>
      </w:r>
      <w:r w:rsidRPr="004C22EB">
        <w:rPr>
          <w:rFonts w:cs="Arial"/>
        </w:rPr>
        <w:t>:</w:t>
      </w:r>
    </w:p>
    <w:p w14:paraId="5313C238" w14:textId="77777777" w:rsidR="00C87E84" w:rsidRPr="00AB2D39" w:rsidRDefault="00C87E84" w:rsidP="004B560C">
      <w:pPr>
        <w:pStyle w:val="FSBullet1"/>
        <w:rPr>
          <w:lang w:val="en"/>
        </w:rPr>
      </w:pPr>
      <w:r w:rsidRPr="00AB2D39">
        <w:rPr>
          <w:lang w:val="en"/>
        </w:rPr>
        <w:t>human studies; trials in which subjects lost or gained significant amounts of weight were excluded</w:t>
      </w:r>
    </w:p>
    <w:p w14:paraId="380EB8A2" w14:textId="6E91F3EC" w:rsidR="00C87E84" w:rsidRPr="00AB2D39" w:rsidRDefault="00C87E84" w:rsidP="004B560C">
      <w:pPr>
        <w:pStyle w:val="FSBullet1"/>
        <w:rPr>
          <w:lang w:val="en"/>
        </w:rPr>
      </w:pPr>
      <w:r w:rsidRPr="00AB2D39">
        <w:rPr>
          <w:lang w:val="en"/>
        </w:rPr>
        <w:t>dietary trials using industrial TFAs, CLA or other ruminant TFAs, including</w:t>
      </w:r>
      <w:r w:rsidR="00202CF8">
        <w:rPr>
          <w:lang w:val="en"/>
        </w:rPr>
        <w:t xml:space="preserve"> </w:t>
      </w:r>
      <w:r w:rsidRPr="00AB2D39">
        <w:rPr>
          <w:lang w:val="en"/>
        </w:rPr>
        <w:t>CLA supplements</w:t>
      </w:r>
    </w:p>
    <w:p w14:paraId="27CDF3F9" w14:textId="12E93320" w:rsidR="00C87E84" w:rsidRPr="00AB2D39" w:rsidRDefault="00C87E84" w:rsidP="004B560C">
      <w:pPr>
        <w:pStyle w:val="FSBullet1"/>
        <w:rPr>
          <w:lang w:val="en"/>
        </w:rPr>
      </w:pPr>
      <w:r w:rsidRPr="00AB2D39">
        <w:rPr>
          <w:lang w:val="en"/>
        </w:rPr>
        <w:t>outcomes: studies had to report both LDL-C and HDL-C</w:t>
      </w:r>
    </w:p>
    <w:p w14:paraId="2315581F" w14:textId="5FAAED29" w:rsidR="00C87E84" w:rsidRPr="00AB2D39" w:rsidRDefault="00C87E84" w:rsidP="004B560C">
      <w:pPr>
        <w:pStyle w:val="FSBullet1"/>
        <w:rPr>
          <w:lang w:val="en"/>
        </w:rPr>
      </w:pPr>
      <w:bookmarkStart w:id="7" w:name="article1.body1.sec2.sec1.p2"/>
      <w:bookmarkEnd w:id="7"/>
      <w:r w:rsidRPr="00AB2D39">
        <w:rPr>
          <w:lang w:val="en"/>
        </w:rPr>
        <w:t xml:space="preserve">treatment periods had to last at least 13 days </w:t>
      </w:r>
    </w:p>
    <w:p w14:paraId="04E26DBD" w14:textId="77777777" w:rsidR="00C87E84" w:rsidRPr="00AB2D39" w:rsidRDefault="00C87E84" w:rsidP="004B560C">
      <w:pPr>
        <w:pStyle w:val="FSBullet1"/>
        <w:rPr>
          <w:lang w:val="en"/>
        </w:rPr>
      </w:pPr>
      <w:bookmarkStart w:id="8" w:name="article1.body1.sec2.sec1.p3"/>
      <w:bookmarkEnd w:id="8"/>
      <w:r w:rsidRPr="00AB2D39">
        <w:rPr>
          <w:lang w:val="en"/>
        </w:rPr>
        <w:t>parallel, crossover, or Latin-square design studies included, sequential designs excluded</w:t>
      </w:r>
    </w:p>
    <w:p w14:paraId="7D98A248" w14:textId="1BA766C2" w:rsidR="00C87E84" w:rsidRPr="00AB2D39" w:rsidRDefault="00C87E84" w:rsidP="004B560C">
      <w:pPr>
        <w:pStyle w:val="FSBullet1"/>
        <w:rPr>
          <w:lang w:val="en"/>
        </w:rPr>
      </w:pPr>
      <w:r w:rsidRPr="00AB2D39">
        <w:rPr>
          <w:lang w:val="en"/>
        </w:rPr>
        <w:t>Medline searched for all relevant original-research papers published in English between January 1990 and January 2010; search terms: “(</w:t>
      </w:r>
      <w:proofErr w:type="gramStart"/>
      <w:r w:rsidRPr="00AB2D39">
        <w:rPr>
          <w:lang w:val="en"/>
        </w:rPr>
        <w:t>trans</w:t>
      </w:r>
      <w:proofErr w:type="gramEnd"/>
      <w:r w:rsidRPr="00AB2D39">
        <w:rPr>
          <w:lang w:val="en"/>
        </w:rPr>
        <w:t xml:space="preserve"> fat OR trans fatty acids, OR CLA) AND LDL”; reference lists scanned</w:t>
      </w:r>
      <w:r w:rsidR="00AB2D39">
        <w:rPr>
          <w:lang w:val="en"/>
        </w:rPr>
        <w:t>.</w:t>
      </w:r>
    </w:p>
    <w:p w14:paraId="1C997D68" w14:textId="77777777" w:rsidR="004B560C" w:rsidRDefault="004B560C" w:rsidP="00C87E84">
      <w:pPr>
        <w:rPr>
          <w:rFonts w:cs="Arial"/>
        </w:rPr>
      </w:pPr>
    </w:p>
    <w:p w14:paraId="63968DF4" w14:textId="2373573E" w:rsidR="00C87E84" w:rsidRPr="004C22EB" w:rsidRDefault="00C87E84" w:rsidP="00C87E84">
      <w:pPr>
        <w:rPr>
          <w:rFonts w:cs="Arial"/>
        </w:rPr>
      </w:pPr>
      <w:r w:rsidRPr="004C22EB">
        <w:rPr>
          <w:rFonts w:cs="Arial"/>
        </w:rPr>
        <w:t>The focus of the analysis was on the ratio of LDL-C and HDL-C and whether this was different for the three classes of TFA</w:t>
      </w:r>
      <w:r w:rsidR="00786516">
        <w:rPr>
          <w:rFonts w:cs="Arial"/>
        </w:rPr>
        <w:t>s</w:t>
      </w:r>
      <w:r w:rsidRPr="004C22EB">
        <w:rPr>
          <w:rFonts w:cs="Arial"/>
        </w:rPr>
        <w:t xml:space="preserve">. A larger number of studies were included </w:t>
      </w:r>
      <w:r w:rsidR="00AB2D39">
        <w:rPr>
          <w:rFonts w:cs="Arial"/>
        </w:rPr>
        <w:t>compared to</w:t>
      </w:r>
      <w:r w:rsidR="00AB2D39" w:rsidRPr="004C22EB">
        <w:rPr>
          <w:rFonts w:cs="Arial"/>
        </w:rPr>
        <w:t xml:space="preserve"> </w:t>
      </w:r>
      <w:r w:rsidRPr="004C22EB">
        <w:rPr>
          <w:rFonts w:cs="Arial"/>
        </w:rPr>
        <w:t xml:space="preserve">the two earlier reviews because some </w:t>
      </w:r>
      <w:r w:rsidR="009B1891" w:rsidRPr="004C22EB">
        <w:rPr>
          <w:rFonts w:cs="Arial"/>
        </w:rPr>
        <w:t xml:space="preserve">inclusion criteria were less stringent. </w:t>
      </w:r>
      <w:r w:rsidR="000C0352" w:rsidRPr="004C22EB">
        <w:rPr>
          <w:rFonts w:cs="Arial"/>
        </w:rPr>
        <w:t>H</w:t>
      </w:r>
      <w:r w:rsidRPr="004C22EB">
        <w:rPr>
          <w:rFonts w:cs="Arial"/>
        </w:rPr>
        <w:t xml:space="preserve">ence, </w:t>
      </w:r>
      <w:r w:rsidR="00AF138E">
        <w:rPr>
          <w:rFonts w:cs="Arial"/>
        </w:rPr>
        <w:t xml:space="preserve">compared to the two earlier reviews, </w:t>
      </w:r>
      <w:r w:rsidRPr="004C22EB">
        <w:rPr>
          <w:rFonts w:cs="Arial"/>
        </w:rPr>
        <w:t xml:space="preserve">this review contains some studies </w:t>
      </w:r>
      <w:r w:rsidR="00DF2F08" w:rsidRPr="004C22EB">
        <w:rPr>
          <w:rFonts w:cs="Arial"/>
        </w:rPr>
        <w:t xml:space="preserve">that </w:t>
      </w:r>
      <w:r w:rsidR="00AF138E">
        <w:rPr>
          <w:rFonts w:cs="Arial"/>
        </w:rPr>
        <w:t>might</w:t>
      </w:r>
      <w:r w:rsidRPr="004C22EB">
        <w:rPr>
          <w:rFonts w:cs="Arial"/>
        </w:rPr>
        <w:t xml:space="preserve"> be regarded as lower quality owing to</w:t>
      </w:r>
      <w:r w:rsidR="00AB2D39">
        <w:rPr>
          <w:rFonts w:cs="Arial"/>
        </w:rPr>
        <w:t xml:space="preserve"> a</w:t>
      </w:r>
      <w:r w:rsidRPr="004C22EB">
        <w:rPr>
          <w:rFonts w:cs="Arial"/>
        </w:rPr>
        <w:t xml:space="preserve"> lack of </w:t>
      </w:r>
      <w:r w:rsidR="00AF138E">
        <w:rPr>
          <w:rFonts w:cs="Arial"/>
        </w:rPr>
        <w:t xml:space="preserve">full </w:t>
      </w:r>
      <w:r w:rsidRPr="004C22EB">
        <w:rPr>
          <w:rFonts w:cs="Arial"/>
        </w:rPr>
        <w:t>detail</w:t>
      </w:r>
      <w:r w:rsidR="00AF138E">
        <w:rPr>
          <w:rFonts w:cs="Arial"/>
        </w:rPr>
        <w:t>s about the dietary intake of participants during the trial</w:t>
      </w:r>
      <w:r w:rsidR="00202CF8">
        <w:rPr>
          <w:rFonts w:cs="Arial"/>
        </w:rPr>
        <w:t xml:space="preserve">. </w:t>
      </w:r>
    </w:p>
    <w:p w14:paraId="5ED9D7CC" w14:textId="114D8FBF" w:rsidR="00C87E84" w:rsidRPr="004C22EB" w:rsidRDefault="00C87E84" w:rsidP="004B560C">
      <w:pPr>
        <w:pStyle w:val="Heading2"/>
      </w:pPr>
      <w:bookmarkStart w:id="9" w:name="_Toc487100076"/>
      <w:r w:rsidRPr="004C22EB">
        <w:t xml:space="preserve">2014 Update </w:t>
      </w:r>
      <w:r w:rsidR="00F97215">
        <w:t>by ECU</w:t>
      </w:r>
      <w:r w:rsidR="00816712" w:rsidRPr="004C22EB">
        <w:t xml:space="preserve"> (</w:t>
      </w:r>
      <w:proofErr w:type="spellStart"/>
      <w:r w:rsidR="00816712" w:rsidRPr="004C22EB">
        <w:t>Hafekost</w:t>
      </w:r>
      <w:proofErr w:type="spellEnd"/>
      <w:r w:rsidR="00816712" w:rsidRPr="004C22EB">
        <w:t xml:space="preserve"> et al</w:t>
      </w:r>
      <w:r w:rsidR="00F94E52">
        <w:t>.</w:t>
      </w:r>
      <w:r w:rsidR="00816712" w:rsidRPr="004C22EB">
        <w:t xml:space="preserve"> 2014)</w:t>
      </w:r>
      <w:bookmarkEnd w:id="9"/>
    </w:p>
    <w:p w14:paraId="2615F67B" w14:textId="06074A7E" w:rsidR="00C87E84" w:rsidRPr="004C22EB" w:rsidRDefault="00C87E84" w:rsidP="00C87E84">
      <w:pPr>
        <w:rPr>
          <w:rFonts w:cs="Arial"/>
        </w:rPr>
      </w:pPr>
      <w:r w:rsidRPr="004C22EB">
        <w:rPr>
          <w:rFonts w:cs="Arial"/>
        </w:rPr>
        <w:t xml:space="preserve">The 2014 update used </w:t>
      </w:r>
      <w:r w:rsidR="00DF2F08" w:rsidRPr="004C22EB">
        <w:rPr>
          <w:rFonts w:cs="Arial"/>
        </w:rPr>
        <w:t xml:space="preserve">the selection </w:t>
      </w:r>
      <w:r w:rsidRPr="004C22EB">
        <w:rPr>
          <w:rFonts w:cs="Arial"/>
        </w:rPr>
        <w:t xml:space="preserve">criteria of </w:t>
      </w:r>
      <w:proofErr w:type="spellStart"/>
      <w:r w:rsidRPr="004C22EB">
        <w:rPr>
          <w:rFonts w:cs="Arial"/>
        </w:rPr>
        <w:t>Brouwer</w:t>
      </w:r>
      <w:proofErr w:type="spellEnd"/>
      <w:r w:rsidRPr="004C22EB">
        <w:rPr>
          <w:rFonts w:cs="Arial"/>
        </w:rPr>
        <w:t xml:space="preserve"> et al</w:t>
      </w:r>
      <w:r w:rsidR="00786516">
        <w:rPr>
          <w:rFonts w:cs="Arial"/>
        </w:rPr>
        <w:t>.</w:t>
      </w:r>
      <w:r w:rsidRPr="004C22EB">
        <w:rPr>
          <w:rFonts w:cs="Arial"/>
        </w:rPr>
        <w:t xml:space="preserve"> (2010) to identify studies</w:t>
      </w:r>
      <w:r w:rsidR="00575184" w:rsidRPr="004C22EB">
        <w:rPr>
          <w:rFonts w:cs="Arial"/>
        </w:rPr>
        <w:t xml:space="preserve">, </w:t>
      </w:r>
      <w:r w:rsidRPr="004C22EB">
        <w:rPr>
          <w:rFonts w:cs="Arial"/>
        </w:rPr>
        <w:t>with one exception</w:t>
      </w:r>
      <w:r w:rsidR="00202CF8">
        <w:rPr>
          <w:rFonts w:cs="Arial"/>
        </w:rPr>
        <w:t xml:space="preserve">. </w:t>
      </w:r>
      <w:proofErr w:type="spellStart"/>
      <w:r w:rsidR="00E92FFB" w:rsidRPr="004C22EB">
        <w:rPr>
          <w:rFonts w:cs="Arial"/>
        </w:rPr>
        <w:t>Brouwer</w:t>
      </w:r>
      <w:proofErr w:type="spellEnd"/>
      <w:r w:rsidR="00E92FFB" w:rsidRPr="004C22EB">
        <w:rPr>
          <w:rFonts w:cs="Arial"/>
        </w:rPr>
        <w:t xml:space="preserve"> et al</w:t>
      </w:r>
      <w:r w:rsidR="00E92FFB">
        <w:rPr>
          <w:rFonts w:cs="Arial"/>
        </w:rPr>
        <w:t>.</w:t>
      </w:r>
      <w:r w:rsidR="00E92FFB" w:rsidRPr="004C22EB">
        <w:rPr>
          <w:rFonts w:cs="Arial"/>
        </w:rPr>
        <w:t xml:space="preserve"> (2010) </w:t>
      </w:r>
      <w:r w:rsidR="00E92FFB">
        <w:rPr>
          <w:rFonts w:cs="Arial"/>
        </w:rPr>
        <w:t>included</w:t>
      </w:r>
      <w:r w:rsidRPr="004C22EB">
        <w:rPr>
          <w:rFonts w:cs="Arial"/>
        </w:rPr>
        <w:t xml:space="preserve"> mixtures of </w:t>
      </w:r>
      <w:r w:rsidR="00EF291D" w:rsidRPr="004C22EB">
        <w:rPr>
          <w:rFonts w:cs="Arial"/>
        </w:rPr>
        <w:t xml:space="preserve">synthetic </w:t>
      </w:r>
      <w:r w:rsidRPr="004C22EB">
        <w:rPr>
          <w:rFonts w:cs="Arial"/>
        </w:rPr>
        <w:t>isomers of conjugated linoleic acid (</w:t>
      </w:r>
      <w:r w:rsidR="000C0352" w:rsidRPr="004C22EB">
        <w:rPr>
          <w:rFonts w:cs="Arial"/>
        </w:rPr>
        <w:t>CLA)</w:t>
      </w:r>
      <w:r w:rsidR="00FE4B9B" w:rsidRPr="004C22EB">
        <w:rPr>
          <w:rFonts w:cs="Arial"/>
        </w:rPr>
        <w:t xml:space="preserve"> </w:t>
      </w:r>
      <w:r w:rsidR="000C0352" w:rsidRPr="004C22EB">
        <w:rPr>
          <w:rFonts w:cs="Arial"/>
        </w:rPr>
        <w:t>(</w:t>
      </w:r>
      <w:r w:rsidRPr="004C22EB">
        <w:rPr>
          <w:rFonts w:cs="Arial"/>
        </w:rPr>
        <w:t xml:space="preserve">which are made from safflower oil) are </w:t>
      </w:r>
      <w:r w:rsidR="00DF2F08" w:rsidRPr="004C22EB">
        <w:rPr>
          <w:rFonts w:cs="Arial"/>
        </w:rPr>
        <w:t xml:space="preserve">currently </w:t>
      </w:r>
      <w:r w:rsidRPr="004C22EB">
        <w:rPr>
          <w:rFonts w:cs="Arial"/>
        </w:rPr>
        <w:t xml:space="preserve">not permitted to be added to food in Australia and New Zealand. </w:t>
      </w:r>
      <w:r w:rsidR="00433834">
        <w:rPr>
          <w:rFonts w:cs="Arial"/>
        </w:rPr>
        <w:t>T</w:t>
      </w:r>
      <w:r w:rsidR="00433834" w:rsidRPr="004C22EB">
        <w:rPr>
          <w:rFonts w:cs="Arial"/>
        </w:rPr>
        <w:t xml:space="preserve">he cis-9, trans-11 CLA isomer </w:t>
      </w:r>
      <w:r w:rsidR="00433834">
        <w:rPr>
          <w:rFonts w:cs="Arial"/>
        </w:rPr>
        <w:t>is found in food from ruminants</w:t>
      </w:r>
      <w:r w:rsidR="00202CF8">
        <w:rPr>
          <w:rFonts w:cs="Arial"/>
        </w:rPr>
        <w:t xml:space="preserve">. </w:t>
      </w:r>
      <w:r w:rsidR="00E92FFB">
        <w:rPr>
          <w:rFonts w:cs="Arial"/>
        </w:rPr>
        <w:t>Therefore s</w:t>
      </w:r>
      <w:r w:rsidRPr="004C22EB">
        <w:rPr>
          <w:rFonts w:cs="Arial"/>
        </w:rPr>
        <w:t xml:space="preserve">tudies </w:t>
      </w:r>
      <w:r w:rsidR="00433834">
        <w:rPr>
          <w:rFonts w:cs="Arial"/>
        </w:rPr>
        <w:t xml:space="preserve">of CLA </w:t>
      </w:r>
      <w:r w:rsidRPr="004C22EB">
        <w:rPr>
          <w:rFonts w:cs="Arial"/>
        </w:rPr>
        <w:t xml:space="preserve">which </w:t>
      </w:r>
      <w:r w:rsidR="00433834">
        <w:rPr>
          <w:rFonts w:cs="Arial"/>
        </w:rPr>
        <w:t xml:space="preserve">used only </w:t>
      </w:r>
      <w:r w:rsidRPr="004C22EB">
        <w:rPr>
          <w:rFonts w:cs="Arial"/>
        </w:rPr>
        <w:t xml:space="preserve">the cis-9, trans-11 </w:t>
      </w:r>
      <w:r w:rsidR="000C0352" w:rsidRPr="004C22EB">
        <w:rPr>
          <w:rFonts w:cs="Arial"/>
        </w:rPr>
        <w:t xml:space="preserve">CLA </w:t>
      </w:r>
      <w:r w:rsidRPr="004C22EB">
        <w:rPr>
          <w:rFonts w:cs="Arial"/>
        </w:rPr>
        <w:t xml:space="preserve">isomer </w:t>
      </w:r>
      <w:r w:rsidRPr="004C22EB">
        <w:rPr>
          <w:rFonts w:cs="Arial"/>
        </w:rPr>
        <w:lastRenderedPageBreak/>
        <w:t xml:space="preserve">were </w:t>
      </w:r>
      <w:r w:rsidR="00433834">
        <w:rPr>
          <w:rFonts w:cs="Arial"/>
        </w:rPr>
        <w:t xml:space="preserve">included in the update whereas studies </w:t>
      </w:r>
      <w:r w:rsidR="00EF291D">
        <w:rPr>
          <w:rFonts w:cs="Arial"/>
        </w:rPr>
        <w:t xml:space="preserve">that </w:t>
      </w:r>
      <w:r w:rsidR="00433834">
        <w:rPr>
          <w:rFonts w:cs="Arial"/>
        </w:rPr>
        <w:t xml:space="preserve">used other CLA isomers, with or without the </w:t>
      </w:r>
      <w:r w:rsidR="00433834" w:rsidRPr="004C22EB">
        <w:rPr>
          <w:rFonts w:cs="Arial"/>
        </w:rPr>
        <w:t>cis-9, trans-11 isomer</w:t>
      </w:r>
      <w:r w:rsidR="00433834">
        <w:rPr>
          <w:rFonts w:cs="Arial"/>
        </w:rPr>
        <w:t>, were excluded.</w:t>
      </w:r>
    </w:p>
    <w:p w14:paraId="339D8927" w14:textId="77777777" w:rsidR="00C87E84" w:rsidRPr="004C22EB" w:rsidRDefault="00C87E84" w:rsidP="00C87E84">
      <w:pPr>
        <w:rPr>
          <w:rFonts w:cs="Arial"/>
        </w:rPr>
      </w:pPr>
    </w:p>
    <w:p w14:paraId="3DA3670C" w14:textId="67905392" w:rsidR="00C87E84" w:rsidRPr="004C22EB" w:rsidRDefault="00C87E84" w:rsidP="00C87E84">
      <w:pPr>
        <w:rPr>
          <w:rFonts w:cs="Arial"/>
        </w:rPr>
      </w:pPr>
      <w:r w:rsidRPr="004C22EB">
        <w:rPr>
          <w:rFonts w:cs="Arial"/>
        </w:rPr>
        <w:t xml:space="preserve">Three data points were brought forward from </w:t>
      </w:r>
      <w:proofErr w:type="spellStart"/>
      <w:r w:rsidRPr="004C22EB">
        <w:rPr>
          <w:rFonts w:cs="Arial"/>
        </w:rPr>
        <w:t>Brouwer</w:t>
      </w:r>
      <w:proofErr w:type="spellEnd"/>
      <w:r w:rsidRPr="004C22EB">
        <w:rPr>
          <w:rFonts w:cs="Arial"/>
        </w:rPr>
        <w:t xml:space="preserve"> et al</w:t>
      </w:r>
      <w:r w:rsidR="00786516">
        <w:rPr>
          <w:rFonts w:cs="Arial"/>
        </w:rPr>
        <w:t>.</w:t>
      </w:r>
      <w:r w:rsidRPr="004C22EB">
        <w:rPr>
          <w:rFonts w:cs="Arial"/>
        </w:rPr>
        <w:t xml:space="preserve"> (2010) into the 2014 update: </w:t>
      </w:r>
      <w:proofErr w:type="spellStart"/>
      <w:r w:rsidRPr="004C22EB">
        <w:rPr>
          <w:rFonts w:cs="Arial"/>
        </w:rPr>
        <w:t>i</w:t>
      </w:r>
      <w:proofErr w:type="spellEnd"/>
      <w:r w:rsidRPr="004C22EB">
        <w:rPr>
          <w:rFonts w:cs="Arial"/>
        </w:rPr>
        <w:t>) the overall effect for industrial TFA</w:t>
      </w:r>
      <w:r w:rsidR="00786516">
        <w:rPr>
          <w:rFonts w:cs="Arial"/>
        </w:rPr>
        <w:t>s</w:t>
      </w:r>
      <w:r w:rsidRPr="004C22EB">
        <w:rPr>
          <w:rFonts w:cs="Arial"/>
        </w:rPr>
        <w:t xml:space="preserve"> (23 studies)</w:t>
      </w:r>
      <w:r w:rsidR="00BA5470">
        <w:rPr>
          <w:rFonts w:cs="Arial"/>
        </w:rPr>
        <w:t>;</w:t>
      </w:r>
      <w:r w:rsidRPr="004C22EB">
        <w:rPr>
          <w:rFonts w:cs="Arial"/>
        </w:rPr>
        <w:t xml:space="preserve"> ii) the overall effect observed in studies which had enriched the ruminant TFA content of dairy fat by </w:t>
      </w:r>
      <w:proofErr w:type="spellStart"/>
      <w:r w:rsidR="001C59FC" w:rsidRPr="004C22EB">
        <w:rPr>
          <w:rFonts w:cs="Arial"/>
        </w:rPr>
        <w:t>biofortification</w:t>
      </w:r>
      <w:proofErr w:type="spellEnd"/>
      <w:r w:rsidR="001C59FC" w:rsidRPr="004C22EB">
        <w:rPr>
          <w:rFonts w:cs="Arial"/>
        </w:rPr>
        <w:t xml:space="preserve"> (</w:t>
      </w:r>
      <w:r w:rsidRPr="004C22EB">
        <w:rPr>
          <w:rFonts w:cs="Arial"/>
        </w:rPr>
        <w:t xml:space="preserve">feeding </w:t>
      </w:r>
      <w:r w:rsidR="000C0352" w:rsidRPr="004C22EB">
        <w:rPr>
          <w:rFonts w:cs="Arial"/>
        </w:rPr>
        <w:t>CLA acid</w:t>
      </w:r>
      <w:r w:rsidRPr="004C22EB">
        <w:rPr>
          <w:rFonts w:cs="Arial"/>
        </w:rPr>
        <w:t xml:space="preserve"> to cows</w:t>
      </w:r>
      <w:r w:rsidR="001C59FC" w:rsidRPr="004C22EB">
        <w:rPr>
          <w:rFonts w:cs="Arial"/>
        </w:rPr>
        <w:t xml:space="preserve">, </w:t>
      </w:r>
      <w:r w:rsidRPr="004C22EB">
        <w:rPr>
          <w:rFonts w:cs="Arial"/>
        </w:rPr>
        <w:t>5</w:t>
      </w:r>
      <w:r w:rsidR="001C59FC" w:rsidRPr="004C22EB">
        <w:rPr>
          <w:rFonts w:cs="Arial"/>
        </w:rPr>
        <w:t xml:space="preserve"> </w:t>
      </w:r>
      <w:r w:rsidRPr="004C22EB">
        <w:rPr>
          <w:rFonts w:cs="Arial"/>
        </w:rPr>
        <w:t>studies)</w:t>
      </w:r>
      <w:r w:rsidR="00BA5470">
        <w:rPr>
          <w:rFonts w:cs="Arial"/>
        </w:rPr>
        <w:t>;</w:t>
      </w:r>
      <w:r w:rsidRPr="004C22EB">
        <w:rPr>
          <w:rFonts w:cs="Arial"/>
        </w:rPr>
        <w:t xml:space="preserve"> and iii) data from one study which had used only synthetic cis-9, trans-11 CLA (which is identical with the primary CLA in ruminant fat). </w:t>
      </w:r>
      <w:r w:rsidR="00F94E52">
        <w:rPr>
          <w:rFonts w:cs="Arial"/>
        </w:rPr>
        <w:t>Studies included in the review by</w:t>
      </w:r>
      <w:r w:rsidRPr="004C22EB">
        <w:rPr>
          <w:rFonts w:cs="Arial"/>
        </w:rPr>
        <w:t xml:space="preserve"> </w:t>
      </w:r>
      <w:proofErr w:type="spellStart"/>
      <w:r w:rsidR="00F94E52" w:rsidRPr="001307F7">
        <w:rPr>
          <w:rFonts w:cs="Arial"/>
        </w:rPr>
        <w:t>Hafekost</w:t>
      </w:r>
      <w:proofErr w:type="spellEnd"/>
      <w:r w:rsidR="00F94E52" w:rsidRPr="001307F7">
        <w:rPr>
          <w:rFonts w:cs="Arial"/>
        </w:rPr>
        <w:t xml:space="preserve"> et al. 2014 are shown in Table 2.</w:t>
      </w:r>
    </w:p>
    <w:p w14:paraId="40B514F2" w14:textId="77777777" w:rsidR="00C87E84" w:rsidRPr="004C22EB" w:rsidRDefault="00C87E84" w:rsidP="009B1891">
      <w:pPr>
        <w:pStyle w:val="Heading2"/>
      </w:pPr>
      <w:bookmarkStart w:id="10" w:name="_Toc487100077"/>
      <w:r w:rsidRPr="004C22EB">
        <w:t>Commentary</w:t>
      </w:r>
      <w:bookmarkEnd w:id="10"/>
    </w:p>
    <w:p w14:paraId="7DF15CBB" w14:textId="585B4EB8" w:rsidR="00C87E84" w:rsidRPr="004C22EB" w:rsidRDefault="006B1F8B" w:rsidP="00C87E84">
      <w:pPr>
        <w:rPr>
          <w:rFonts w:cs="Arial"/>
        </w:rPr>
      </w:pPr>
      <w:r w:rsidRPr="004C22EB">
        <w:rPr>
          <w:rFonts w:cs="Arial"/>
        </w:rPr>
        <w:t xml:space="preserve">Among the </w:t>
      </w:r>
      <w:r w:rsidR="006D51D5" w:rsidRPr="004C22EB">
        <w:rPr>
          <w:rFonts w:cs="Arial"/>
        </w:rPr>
        <w:t>three</w:t>
      </w:r>
      <w:r w:rsidRPr="004C22EB">
        <w:rPr>
          <w:rFonts w:cs="Arial"/>
        </w:rPr>
        <w:t xml:space="preserve"> reviews t</w:t>
      </w:r>
      <w:r w:rsidR="00C87E84" w:rsidRPr="004C22EB">
        <w:rPr>
          <w:rFonts w:cs="Arial"/>
        </w:rPr>
        <w:t>he detail of the search strategy and other criteria vary and some factors are left for the reader to in</w:t>
      </w:r>
      <w:r w:rsidR="00B96989">
        <w:rPr>
          <w:rFonts w:cs="Arial"/>
        </w:rPr>
        <w:t>fer</w:t>
      </w:r>
      <w:r w:rsidR="00202CF8">
        <w:rPr>
          <w:rFonts w:cs="Arial"/>
        </w:rPr>
        <w:t xml:space="preserve">. </w:t>
      </w:r>
      <w:r w:rsidR="00C87E84" w:rsidRPr="004C22EB">
        <w:rPr>
          <w:rFonts w:cs="Arial"/>
        </w:rPr>
        <w:t xml:space="preserve">For example, only </w:t>
      </w:r>
      <w:proofErr w:type="spellStart"/>
      <w:r w:rsidR="00C87E84" w:rsidRPr="004C22EB">
        <w:rPr>
          <w:rFonts w:cs="Arial"/>
        </w:rPr>
        <w:t>Mensink</w:t>
      </w:r>
      <w:proofErr w:type="spellEnd"/>
      <w:r w:rsidR="00C87E84" w:rsidRPr="004C22EB">
        <w:rPr>
          <w:rFonts w:cs="Arial"/>
        </w:rPr>
        <w:t xml:space="preserve"> et al</w:t>
      </w:r>
      <w:r w:rsidR="00C219E4">
        <w:rPr>
          <w:rFonts w:cs="Arial"/>
        </w:rPr>
        <w:t>.</w:t>
      </w:r>
      <w:r w:rsidR="00C87E84" w:rsidRPr="004C22EB">
        <w:rPr>
          <w:rFonts w:cs="Arial"/>
        </w:rPr>
        <w:t xml:space="preserve"> (2003) specifically mention excluding trials using omega-3 fats even though margarines in some countries may contain oils from marine sources. </w:t>
      </w:r>
      <w:proofErr w:type="spellStart"/>
      <w:r w:rsidR="00C87E84" w:rsidRPr="004C22EB">
        <w:rPr>
          <w:rFonts w:cs="Arial"/>
        </w:rPr>
        <w:t>Mensink</w:t>
      </w:r>
      <w:proofErr w:type="spellEnd"/>
      <w:r w:rsidR="00C87E84" w:rsidRPr="004C22EB">
        <w:rPr>
          <w:rFonts w:cs="Arial"/>
        </w:rPr>
        <w:t xml:space="preserve"> et al</w:t>
      </w:r>
      <w:r w:rsidR="00C219E4">
        <w:rPr>
          <w:rFonts w:cs="Arial"/>
        </w:rPr>
        <w:t>.</w:t>
      </w:r>
      <w:r w:rsidR="00C87E84" w:rsidRPr="004C22EB">
        <w:rPr>
          <w:rFonts w:cs="Arial"/>
        </w:rPr>
        <w:t xml:space="preserve"> (2003) state that they only included studies in adults whereas this is not specifically stated in the other two reviews</w:t>
      </w:r>
      <w:r w:rsidR="00202CF8">
        <w:rPr>
          <w:rFonts w:cs="Arial"/>
        </w:rPr>
        <w:t xml:space="preserve">. </w:t>
      </w:r>
      <w:r w:rsidR="00C87E84" w:rsidRPr="004C22EB">
        <w:rPr>
          <w:rFonts w:cs="Arial"/>
        </w:rPr>
        <w:t xml:space="preserve">Other criteria varied among the reviews. </w:t>
      </w:r>
      <w:proofErr w:type="spellStart"/>
      <w:r w:rsidR="00C87E84" w:rsidRPr="004C22EB">
        <w:rPr>
          <w:rFonts w:cs="Arial"/>
        </w:rPr>
        <w:t>Mensink</w:t>
      </w:r>
      <w:proofErr w:type="spellEnd"/>
      <w:r w:rsidR="00C87E84" w:rsidRPr="004C22EB">
        <w:rPr>
          <w:rFonts w:cs="Arial"/>
        </w:rPr>
        <w:t xml:space="preserve"> et al</w:t>
      </w:r>
      <w:r w:rsidR="00C219E4">
        <w:rPr>
          <w:rFonts w:cs="Arial"/>
        </w:rPr>
        <w:t>.</w:t>
      </w:r>
      <w:r w:rsidR="00C87E84" w:rsidRPr="004C22EB">
        <w:rPr>
          <w:rFonts w:cs="Arial"/>
        </w:rPr>
        <w:t xml:space="preserve"> (2003) restricted their selection to adults without </w:t>
      </w:r>
      <w:proofErr w:type="spellStart"/>
      <w:r w:rsidR="00C87E84" w:rsidRPr="004C22EB">
        <w:rPr>
          <w:rFonts w:cs="Arial"/>
        </w:rPr>
        <w:t>dyslipaemia</w:t>
      </w:r>
      <w:proofErr w:type="spellEnd"/>
      <w:r w:rsidR="00C87E84" w:rsidRPr="004C22EB">
        <w:rPr>
          <w:rFonts w:cs="Arial"/>
        </w:rPr>
        <w:t xml:space="preserve"> or diabetes who were given highly controlled diets. </w:t>
      </w:r>
      <w:proofErr w:type="spellStart"/>
      <w:r w:rsidR="00C87E84" w:rsidRPr="004C22EB">
        <w:rPr>
          <w:rFonts w:cs="Arial"/>
        </w:rPr>
        <w:t>Mozaffarian</w:t>
      </w:r>
      <w:proofErr w:type="spellEnd"/>
      <w:r w:rsidR="00C87E84" w:rsidRPr="004C22EB">
        <w:rPr>
          <w:rFonts w:cs="Arial"/>
        </w:rPr>
        <w:t xml:space="preserve"> and Clarke (2009) were slightly less restrictive in that their definition of </w:t>
      </w:r>
      <w:proofErr w:type="spellStart"/>
      <w:r w:rsidR="00C87E84" w:rsidRPr="004C22EB">
        <w:rPr>
          <w:rFonts w:cs="Arial"/>
        </w:rPr>
        <w:t>dyslipaemia</w:t>
      </w:r>
      <w:proofErr w:type="spellEnd"/>
      <w:r w:rsidR="00C87E84" w:rsidRPr="004C22EB">
        <w:rPr>
          <w:rFonts w:cs="Arial"/>
        </w:rPr>
        <w:t xml:space="preserve"> appears to have excluded lower degrees of hyperlipidaemia. </w:t>
      </w:r>
      <w:proofErr w:type="spellStart"/>
      <w:r w:rsidR="00C87E84" w:rsidRPr="004C22EB">
        <w:rPr>
          <w:rFonts w:cs="Arial"/>
        </w:rPr>
        <w:t>Brouwer</w:t>
      </w:r>
      <w:proofErr w:type="spellEnd"/>
      <w:r w:rsidR="00C87E84" w:rsidRPr="004C22EB">
        <w:rPr>
          <w:rFonts w:cs="Arial"/>
        </w:rPr>
        <w:t xml:space="preserve"> et al</w:t>
      </w:r>
      <w:r w:rsidR="00C219E4">
        <w:rPr>
          <w:rFonts w:cs="Arial"/>
        </w:rPr>
        <w:t>.</w:t>
      </w:r>
      <w:r w:rsidR="00C87E84" w:rsidRPr="004C22EB">
        <w:rPr>
          <w:rFonts w:cs="Arial"/>
        </w:rPr>
        <w:t xml:space="preserve"> (2010) were less restrictive again in this regard. The first two reviews included only studies carried out in a controlled/metabolic ward type of situation whereas </w:t>
      </w:r>
      <w:proofErr w:type="spellStart"/>
      <w:r w:rsidR="00C87E84" w:rsidRPr="004C22EB">
        <w:rPr>
          <w:rFonts w:cs="Arial"/>
        </w:rPr>
        <w:t>Brouwer</w:t>
      </w:r>
      <w:proofErr w:type="spellEnd"/>
      <w:r w:rsidR="00C87E84" w:rsidRPr="004C22EB">
        <w:rPr>
          <w:rFonts w:cs="Arial"/>
        </w:rPr>
        <w:t xml:space="preserve"> et al</w:t>
      </w:r>
      <w:r w:rsidR="00C219E4">
        <w:rPr>
          <w:rFonts w:cs="Arial"/>
        </w:rPr>
        <w:t>.</w:t>
      </w:r>
      <w:r w:rsidR="00C87E84" w:rsidRPr="004C22EB">
        <w:rPr>
          <w:rFonts w:cs="Arial"/>
        </w:rPr>
        <w:t xml:space="preserve"> (2010) did not have this restriction but did state that they excluded studies where significant </w:t>
      </w:r>
      <w:r w:rsidR="006D51D5" w:rsidRPr="004C22EB">
        <w:rPr>
          <w:rFonts w:cs="Arial"/>
        </w:rPr>
        <w:t>body</w:t>
      </w:r>
      <w:r w:rsidR="00C87E84" w:rsidRPr="004C22EB">
        <w:rPr>
          <w:rFonts w:cs="Arial"/>
        </w:rPr>
        <w:t xml:space="preserve">weight changes were reported during the trial. </w:t>
      </w:r>
    </w:p>
    <w:p w14:paraId="2F7F6374" w14:textId="77777777" w:rsidR="00C87E84" w:rsidRPr="004C22EB" w:rsidRDefault="00C87E84" w:rsidP="00C87E84">
      <w:pPr>
        <w:rPr>
          <w:rFonts w:cs="Arial"/>
        </w:rPr>
      </w:pPr>
    </w:p>
    <w:p w14:paraId="451713CF" w14:textId="49E78FFE" w:rsidR="00C87E84" w:rsidRPr="004C22EB" w:rsidRDefault="00C87E84" w:rsidP="00C87E84">
      <w:pPr>
        <w:rPr>
          <w:rFonts w:cs="Arial"/>
        </w:rPr>
      </w:pPr>
      <w:r w:rsidRPr="004C22EB">
        <w:rPr>
          <w:rFonts w:cs="Arial"/>
        </w:rPr>
        <w:t>FSANZ con</w:t>
      </w:r>
      <w:r w:rsidR="00575184" w:rsidRPr="004C22EB">
        <w:rPr>
          <w:rFonts w:cs="Arial"/>
        </w:rPr>
        <w:t xml:space="preserve">siders that the conclusions of the reviews by </w:t>
      </w:r>
      <w:proofErr w:type="spellStart"/>
      <w:r w:rsidRPr="004C22EB">
        <w:rPr>
          <w:rFonts w:cs="Arial"/>
        </w:rPr>
        <w:t>Mensink</w:t>
      </w:r>
      <w:proofErr w:type="spellEnd"/>
      <w:r w:rsidRPr="004C22EB">
        <w:rPr>
          <w:rFonts w:cs="Arial"/>
        </w:rPr>
        <w:t xml:space="preserve"> et al</w:t>
      </w:r>
      <w:r w:rsidR="00C219E4">
        <w:rPr>
          <w:rFonts w:cs="Arial"/>
        </w:rPr>
        <w:t>.</w:t>
      </w:r>
      <w:r w:rsidRPr="004C22EB">
        <w:rPr>
          <w:rFonts w:cs="Arial"/>
        </w:rPr>
        <w:t xml:space="preserve"> (2003) and </w:t>
      </w:r>
      <w:proofErr w:type="spellStart"/>
      <w:r w:rsidRPr="004C22EB">
        <w:rPr>
          <w:rFonts w:cs="Arial"/>
        </w:rPr>
        <w:t>Mozaffarian</w:t>
      </w:r>
      <w:proofErr w:type="spellEnd"/>
      <w:r w:rsidRPr="004C22EB">
        <w:rPr>
          <w:rFonts w:cs="Arial"/>
        </w:rPr>
        <w:t xml:space="preserve"> and Clarke (2009) </w:t>
      </w:r>
      <w:r w:rsidR="00575184" w:rsidRPr="004C22EB">
        <w:rPr>
          <w:rFonts w:cs="Arial"/>
        </w:rPr>
        <w:t xml:space="preserve">are drawn from high quality studies </w:t>
      </w:r>
      <w:r w:rsidRPr="004C22EB">
        <w:rPr>
          <w:rFonts w:cs="Arial"/>
        </w:rPr>
        <w:t xml:space="preserve">owing to the restrictions on dietary control </w:t>
      </w:r>
      <w:r w:rsidR="006D51D5" w:rsidRPr="004C22EB">
        <w:rPr>
          <w:rFonts w:cs="Arial"/>
        </w:rPr>
        <w:t>as part of their</w:t>
      </w:r>
      <w:r w:rsidRPr="004C22EB">
        <w:rPr>
          <w:rFonts w:cs="Arial"/>
        </w:rPr>
        <w:t xml:space="preserve"> inclusion criteria. The </w:t>
      </w:r>
      <w:r w:rsidR="003718D6" w:rsidRPr="004C22EB">
        <w:rPr>
          <w:rFonts w:cs="Arial"/>
        </w:rPr>
        <w:t xml:space="preserve">looser dietary control criteria for the </w:t>
      </w:r>
      <w:r w:rsidRPr="004C22EB">
        <w:rPr>
          <w:rFonts w:cs="Arial"/>
        </w:rPr>
        <w:t>an</w:t>
      </w:r>
      <w:r w:rsidR="00264BDC" w:rsidRPr="004C22EB">
        <w:rPr>
          <w:rFonts w:cs="Arial"/>
        </w:rPr>
        <w:t xml:space="preserve">alysis of </w:t>
      </w:r>
      <w:proofErr w:type="spellStart"/>
      <w:r w:rsidR="00264BDC" w:rsidRPr="004C22EB">
        <w:rPr>
          <w:rFonts w:cs="Arial"/>
        </w:rPr>
        <w:t>Brouwer</w:t>
      </w:r>
      <w:proofErr w:type="spellEnd"/>
      <w:r w:rsidR="00264BDC" w:rsidRPr="004C22EB">
        <w:rPr>
          <w:rFonts w:cs="Arial"/>
        </w:rPr>
        <w:t xml:space="preserve"> et al</w:t>
      </w:r>
      <w:r w:rsidR="00C219E4">
        <w:rPr>
          <w:rFonts w:cs="Arial"/>
        </w:rPr>
        <w:t>.</w:t>
      </w:r>
      <w:r w:rsidR="00264BDC" w:rsidRPr="004C22EB">
        <w:rPr>
          <w:rFonts w:cs="Arial"/>
        </w:rPr>
        <w:t xml:space="preserve"> (2010)</w:t>
      </w:r>
      <w:r w:rsidRPr="004C22EB">
        <w:rPr>
          <w:rFonts w:cs="Arial"/>
        </w:rPr>
        <w:t xml:space="preserve"> </w:t>
      </w:r>
      <w:r w:rsidR="003718D6" w:rsidRPr="004C22EB">
        <w:rPr>
          <w:rFonts w:cs="Arial"/>
        </w:rPr>
        <w:t xml:space="preserve">would allow </w:t>
      </w:r>
      <w:r w:rsidRPr="004C22EB">
        <w:rPr>
          <w:rFonts w:cs="Arial"/>
        </w:rPr>
        <w:t>some lower quality studies in addition to the high quality studies</w:t>
      </w:r>
      <w:r w:rsidR="003718D6" w:rsidRPr="004C22EB">
        <w:rPr>
          <w:rFonts w:cs="Arial"/>
        </w:rPr>
        <w:t xml:space="preserve"> to be included</w:t>
      </w:r>
      <w:r w:rsidRPr="004C22EB">
        <w:rPr>
          <w:rFonts w:cs="Arial"/>
        </w:rPr>
        <w:t xml:space="preserve">. </w:t>
      </w:r>
      <w:r w:rsidR="00C219E4">
        <w:rPr>
          <w:rFonts w:cs="Arial"/>
        </w:rPr>
        <w:t xml:space="preserve">The ECU </w:t>
      </w:r>
      <w:r w:rsidR="00816712" w:rsidRPr="004C22EB">
        <w:rPr>
          <w:rFonts w:cs="Arial"/>
        </w:rPr>
        <w:t>update</w:t>
      </w:r>
      <w:r w:rsidR="00264BDC" w:rsidRPr="004C22EB">
        <w:rPr>
          <w:rFonts w:cs="Arial"/>
        </w:rPr>
        <w:t xml:space="preserve"> review noted that some of the new studies they identified </w:t>
      </w:r>
      <w:r w:rsidR="00C219E4">
        <w:rPr>
          <w:rFonts w:cs="Arial"/>
        </w:rPr>
        <w:t>were of a</w:t>
      </w:r>
      <w:r w:rsidR="00264BDC" w:rsidRPr="004C22EB">
        <w:rPr>
          <w:rFonts w:cs="Arial"/>
        </w:rPr>
        <w:t xml:space="preserve"> lower quality than </w:t>
      </w:r>
      <w:r w:rsidR="00C219E4">
        <w:rPr>
          <w:rFonts w:cs="Arial"/>
        </w:rPr>
        <w:t xml:space="preserve">older </w:t>
      </w:r>
      <w:r w:rsidR="00264BDC" w:rsidRPr="004C22EB">
        <w:rPr>
          <w:rFonts w:cs="Arial"/>
        </w:rPr>
        <w:t>studies</w:t>
      </w:r>
      <w:r w:rsidR="00816712" w:rsidRPr="004C22EB">
        <w:rPr>
          <w:rFonts w:cs="Arial"/>
        </w:rPr>
        <w:t xml:space="preserve"> (</w:t>
      </w:r>
      <w:proofErr w:type="spellStart"/>
      <w:r w:rsidR="00816712" w:rsidRPr="004C22EB">
        <w:rPr>
          <w:rFonts w:cs="Arial"/>
        </w:rPr>
        <w:t>Hafekost</w:t>
      </w:r>
      <w:proofErr w:type="spellEnd"/>
      <w:r w:rsidR="00816712" w:rsidRPr="004C22EB">
        <w:rPr>
          <w:rFonts w:cs="Arial"/>
        </w:rPr>
        <w:t xml:space="preserve"> et al</w:t>
      </w:r>
      <w:r w:rsidR="00C219E4">
        <w:rPr>
          <w:rFonts w:cs="Arial"/>
        </w:rPr>
        <w:t>.</w:t>
      </w:r>
      <w:r w:rsidR="00816712" w:rsidRPr="004C22EB">
        <w:rPr>
          <w:rFonts w:cs="Arial"/>
        </w:rPr>
        <w:t xml:space="preserve"> 2014)</w:t>
      </w:r>
      <w:r w:rsidR="00264BDC" w:rsidRPr="004C22EB">
        <w:rPr>
          <w:rFonts w:cs="Arial"/>
        </w:rPr>
        <w:t xml:space="preserve">. </w:t>
      </w:r>
    </w:p>
    <w:p w14:paraId="215FCEA8" w14:textId="77777777" w:rsidR="00C87E84" w:rsidRPr="004C22EB" w:rsidRDefault="00C87E84" w:rsidP="009B1891">
      <w:pPr>
        <w:pStyle w:val="Heading2"/>
      </w:pPr>
      <w:bookmarkStart w:id="11" w:name="_Toc487100078"/>
      <w:r w:rsidRPr="004C22EB">
        <w:t>Summary of studies included in the reviews</w:t>
      </w:r>
      <w:bookmarkEnd w:id="11"/>
    </w:p>
    <w:p w14:paraId="7387D06E" w14:textId="33B66E7A" w:rsidR="00C87E84" w:rsidRPr="004C22EB" w:rsidRDefault="00C87E84" w:rsidP="00C87E84">
      <w:pPr>
        <w:rPr>
          <w:rFonts w:cs="Arial"/>
        </w:rPr>
      </w:pPr>
      <w:r w:rsidRPr="004C22EB">
        <w:rPr>
          <w:rFonts w:cs="Arial"/>
        </w:rPr>
        <w:t xml:space="preserve">Table </w:t>
      </w:r>
      <w:r w:rsidR="003718D6" w:rsidRPr="004C22EB">
        <w:rPr>
          <w:rFonts w:cs="Arial"/>
        </w:rPr>
        <w:t>3</w:t>
      </w:r>
      <w:r w:rsidRPr="004C22EB">
        <w:rPr>
          <w:rFonts w:cs="Arial"/>
        </w:rPr>
        <w:t xml:space="preserve"> shows the overall effect from the four reviews</w:t>
      </w:r>
      <w:r w:rsidR="00202CF8">
        <w:rPr>
          <w:rFonts w:cs="Arial"/>
        </w:rPr>
        <w:t xml:space="preserve">. </w:t>
      </w:r>
      <w:r w:rsidRPr="004C22EB">
        <w:rPr>
          <w:rFonts w:cs="Arial"/>
        </w:rPr>
        <w:t xml:space="preserve">The results are calculated as an </w:t>
      </w:r>
      <w:proofErr w:type="spellStart"/>
      <w:r w:rsidRPr="004C22EB">
        <w:rPr>
          <w:rFonts w:cs="Arial"/>
        </w:rPr>
        <w:t>isoenergetic</w:t>
      </w:r>
      <w:proofErr w:type="spellEnd"/>
      <w:r w:rsidRPr="004C22EB">
        <w:rPr>
          <w:rFonts w:cs="Arial"/>
        </w:rPr>
        <w:t xml:space="preserve"> exchange of 1% of energy of the comparator macronutrient for TFA</w:t>
      </w:r>
      <w:r w:rsidR="009544F1">
        <w:rPr>
          <w:rFonts w:cs="Arial"/>
        </w:rPr>
        <w:t>s</w:t>
      </w:r>
      <w:r w:rsidR="00202CF8">
        <w:rPr>
          <w:rFonts w:cs="Arial"/>
        </w:rPr>
        <w:t xml:space="preserve">. </w:t>
      </w:r>
      <w:proofErr w:type="spellStart"/>
      <w:r w:rsidRPr="004C22EB">
        <w:rPr>
          <w:rFonts w:cs="Arial"/>
        </w:rPr>
        <w:t>Mensink</w:t>
      </w:r>
      <w:proofErr w:type="spellEnd"/>
      <w:r w:rsidRPr="004C22EB">
        <w:rPr>
          <w:rFonts w:cs="Arial"/>
        </w:rPr>
        <w:t xml:space="preserve"> </w:t>
      </w:r>
      <w:r w:rsidR="00433834">
        <w:rPr>
          <w:rFonts w:cs="Arial"/>
        </w:rPr>
        <w:t>et al.</w:t>
      </w:r>
      <w:r w:rsidR="00202CF8">
        <w:rPr>
          <w:rFonts w:cs="Arial"/>
        </w:rPr>
        <w:t xml:space="preserve"> </w:t>
      </w:r>
      <w:r w:rsidRPr="004C22EB">
        <w:rPr>
          <w:rFonts w:cs="Arial"/>
        </w:rPr>
        <w:t>(2003) chose carbohydrate as their comparator whereas the other reviews used cis</w:t>
      </w:r>
      <w:r w:rsidR="009544F1">
        <w:rPr>
          <w:rFonts w:cs="Arial"/>
        </w:rPr>
        <w:t xml:space="preserve"> </w:t>
      </w:r>
      <w:r w:rsidRPr="004C22EB">
        <w:rPr>
          <w:rFonts w:cs="Arial"/>
        </w:rPr>
        <w:t>mono</w:t>
      </w:r>
      <w:r w:rsidR="009544F1">
        <w:rPr>
          <w:rFonts w:cs="Arial"/>
        </w:rPr>
        <w:t xml:space="preserve"> </w:t>
      </w:r>
      <w:r w:rsidRPr="004C22EB">
        <w:rPr>
          <w:rFonts w:cs="Arial"/>
        </w:rPr>
        <w:t>unsaturated fatty acid (cis-MUFA).</w:t>
      </w:r>
      <w:r w:rsidR="00202CF8">
        <w:rPr>
          <w:rFonts w:cs="Arial"/>
        </w:rPr>
        <w:t xml:space="preserve"> </w:t>
      </w:r>
      <w:r w:rsidRPr="004C22EB">
        <w:rPr>
          <w:rFonts w:cs="Arial"/>
        </w:rPr>
        <w:t xml:space="preserve">However, it is accepted that carbohydrate and cis-MUFA have essentially the same effect on cholesterol concentrations as each other and so the results shown in the table are essentially comparable. </w:t>
      </w:r>
    </w:p>
    <w:p w14:paraId="7D49F11C" w14:textId="7D8FDF7E" w:rsidR="00A167FD" w:rsidRPr="004C22EB" w:rsidRDefault="00B3556A" w:rsidP="000C0352">
      <w:pPr>
        <w:pStyle w:val="Heading1"/>
      </w:pPr>
      <w:bookmarkStart w:id="12" w:name="_Toc487100079"/>
      <w:r w:rsidRPr="004C22EB">
        <w:t xml:space="preserve">Additional </w:t>
      </w:r>
      <w:r w:rsidR="00A167FD" w:rsidRPr="004C22EB">
        <w:t>consideration</w:t>
      </w:r>
      <w:r w:rsidRPr="004C22EB">
        <w:t>s</w:t>
      </w:r>
      <w:bookmarkEnd w:id="12"/>
    </w:p>
    <w:p w14:paraId="18B3C24D" w14:textId="54B221DE" w:rsidR="00C87E84" w:rsidRPr="004C22EB" w:rsidRDefault="002C5274" w:rsidP="00A167FD">
      <w:pPr>
        <w:pStyle w:val="Heading2"/>
      </w:pPr>
      <w:bookmarkStart w:id="13" w:name="_Toc487100080"/>
      <w:r w:rsidRPr="004C22EB">
        <w:t>C</w:t>
      </w:r>
      <w:r w:rsidR="00C87E84" w:rsidRPr="004C22EB">
        <w:t>holesterol status of participants</w:t>
      </w:r>
      <w:bookmarkEnd w:id="13"/>
    </w:p>
    <w:p w14:paraId="649F90B9" w14:textId="74A8E2C7" w:rsidR="00C87E84" w:rsidRPr="004C22EB" w:rsidRDefault="002C5274" w:rsidP="00C87E84">
      <w:pPr>
        <w:rPr>
          <w:rFonts w:cs="Arial"/>
        </w:rPr>
      </w:pPr>
      <w:r w:rsidRPr="004C22EB">
        <w:rPr>
          <w:rFonts w:cs="Arial"/>
        </w:rPr>
        <w:t xml:space="preserve">The </w:t>
      </w:r>
      <w:r w:rsidR="003718D6" w:rsidRPr="004C22EB">
        <w:rPr>
          <w:rFonts w:cs="Arial"/>
        </w:rPr>
        <w:t xml:space="preserve">TFA studies available to </w:t>
      </w:r>
      <w:proofErr w:type="spellStart"/>
      <w:r w:rsidR="00C87E84" w:rsidRPr="004C22EB">
        <w:rPr>
          <w:rFonts w:cs="Arial"/>
        </w:rPr>
        <w:t>Mensink</w:t>
      </w:r>
      <w:proofErr w:type="spellEnd"/>
      <w:r w:rsidR="00C87E84" w:rsidRPr="004C22EB">
        <w:rPr>
          <w:rFonts w:cs="Arial"/>
        </w:rPr>
        <w:t xml:space="preserve"> et al</w:t>
      </w:r>
      <w:r w:rsidR="0081637B">
        <w:rPr>
          <w:rFonts w:cs="Arial"/>
        </w:rPr>
        <w:t>.</w:t>
      </w:r>
      <w:r w:rsidR="00C87E84" w:rsidRPr="004C22EB">
        <w:rPr>
          <w:rFonts w:cs="Arial"/>
        </w:rPr>
        <w:t xml:space="preserve"> (2003) </w:t>
      </w:r>
      <w:r w:rsidR="003718D6" w:rsidRPr="004C22EB">
        <w:rPr>
          <w:rFonts w:cs="Arial"/>
        </w:rPr>
        <w:t xml:space="preserve">were all conducted in </w:t>
      </w:r>
      <w:r w:rsidR="00B86F8B">
        <w:rPr>
          <w:rFonts w:cs="Arial"/>
        </w:rPr>
        <w:t>n</w:t>
      </w:r>
      <w:r w:rsidR="00C87E84" w:rsidRPr="004C22EB">
        <w:rPr>
          <w:rFonts w:cs="Arial"/>
        </w:rPr>
        <w:t>ormocholesterolaemic subjects</w:t>
      </w:r>
      <w:r w:rsidR="003718D6" w:rsidRPr="004C22EB">
        <w:rPr>
          <w:rFonts w:cs="Arial"/>
        </w:rPr>
        <w:t xml:space="preserve"> (Table 2), although this was not a specific inclusion criterion for the review.</w:t>
      </w:r>
      <w:r w:rsidR="00C87E84" w:rsidRPr="004C22EB">
        <w:rPr>
          <w:rFonts w:cs="Arial"/>
        </w:rPr>
        <w:t xml:space="preserve"> Among the eight trials in their analysis, they found that substituting 1% energy from carbohydrate with (industrial) TFA</w:t>
      </w:r>
      <w:r w:rsidR="0081637B">
        <w:rPr>
          <w:rFonts w:cs="Arial"/>
        </w:rPr>
        <w:t>s</w:t>
      </w:r>
      <w:r w:rsidR="00C87E84" w:rsidRPr="004C22EB">
        <w:rPr>
          <w:rFonts w:cs="Arial"/>
        </w:rPr>
        <w:t xml:space="preserve"> increase</w:t>
      </w:r>
      <w:r w:rsidR="0081637B">
        <w:rPr>
          <w:rFonts w:cs="Arial"/>
        </w:rPr>
        <w:t>d</w:t>
      </w:r>
      <w:r w:rsidR="00C87E84" w:rsidRPr="004C22EB">
        <w:rPr>
          <w:rFonts w:cs="Arial"/>
        </w:rPr>
        <w:t xml:space="preserve"> LDL-C and total-C concentrations. The increase in total-C was smaller than the increase in LDL-C (Table </w:t>
      </w:r>
      <w:r w:rsidR="001C59FC" w:rsidRPr="004C22EB">
        <w:rPr>
          <w:rFonts w:cs="Arial"/>
        </w:rPr>
        <w:t>3</w:t>
      </w:r>
      <w:r w:rsidR="00C87E84" w:rsidRPr="004C22EB">
        <w:rPr>
          <w:rFonts w:cs="Arial"/>
        </w:rPr>
        <w:t xml:space="preserve">).   </w:t>
      </w:r>
    </w:p>
    <w:p w14:paraId="5880042A" w14:textId="77777777" w:rsidR="00C87E84" w:rsidRPr="004C22EB" w:rsidRDefault="00C87E84" w:rsidP="00C87E84">
      <w:pPr>
        <w:rPr>
          <w:rFonts w:cs="Arial"/>
        </w:rPr>
      </w:pPr>
    </w:p>
    <w:p w14:paraId="469CEA41" w14:textId="6E795EBB" w:rsidR="002C5274" w:rsidRDefault="00C87E84" w:rsidP="00C87E84">
      <w:pPr>
        <w:rPr>
          <w:rFonts w:cs="Arial"/>
        </w:rPr>
      </w:pPr>
      <w:proofErr w:type="spellStart"/>
      <w:r w:rsidRPr="004C22EB">
        <w:rPr>
          <w:rFonts w:cs="Arial"/>
        </w:rPr>
        <w:t>Mozaffarian</w:t>
      </w:r>
      <w:proofErr w:type="spellEnd"/>
      <w:r w:rsidRPr="004C22EB">
        <w:rPr>
          <w:rFonts w:cs="Arial"/>
        </w:rPr>
        <w:t xml:space="preserve"> and Clarke (2008) used similarly strict criteria for trial description, but lifted the criterion regarding cholesterol status of participants. However only one of the </w:t>
      </w:r>
      <w:r w:rsidR="0081637B">
        <w:rPr>
          <w:rFonts w:cs="Arial"/>
        </w:rPr>
        <w:t>13</w:t>
      </w:r>
      <w:r w:rsidR="0081637B" w:rsidRPr="004C22EB">
        <w:rPr>
          <w:rFonts w:cs="Arial"/>
        </w:rPr>
        <w:t xml:space="preserve"> </w:t>
      </w:r>
      <w:r w:rsidRPr="004C22EB">
        <w:rPr>
          <w:rFonts w:cs="Arial"/>
        </w:rPr>
        <w:t xml:space="preserve">trials </w:t>
      </w:r>
      <w:r w:rsidRPr="004C22EB">
        <w:rPr>
          <w:rFonts w:cs="Arial"/>
        </w:rPr>
        <w:lastRenderedPageBreak/>
        <w:t xml:space="preserve">included in their review had </w:t>
      </w:r>
      <w:proofErr w:type="spellStart"/>
      <w:r w:rsidRPr="004C22EB">
        <w:rPr>
          <w:rFonts w:cs="Arial"/>
        </w:rPr>
        <w:t>hypercholesterolaemic</w:t>
      </w:r>
      <w:proofErr w:type="spellEnd"/>
      <w:r w:rsidRPr="004C22EB">
        <w:rPr>
          <w:rFonts w:cs="Arial"/>
        </w:rPr>
        <w:t xml:space="preserve"> participants (Table </w:t>
      </w:r>
      <w:r w:rsidR="003718D6" w:rsidRPr="004C22EB">
        <w:rPr>
          <w:rFonts w:cs="Arial"/>
        </w:rPr>
        <w:t>2</w:t>
      </w:r>
      <w:r w:rsidRPr="004C22EB">
        <w:rPr>
          <w:rFonts w:cs="Arial"/>
        </w:rPr>
        <w:t xml:space="preserve">). They found a significant adverse effect on HDL-C, in addition to the previously reported effects on LDL-C and total-C (Table </w:t>
      </w:r>
      <w:r w:rsidR="001C59FC" w:rsidRPr="004C22EB">
        <w:rPr>
          <w:rFonts w:cs="Arial"/>
        </w:rPr>
        <w:t>3</w:t>
      </w:r>
      <w:r w:rsidRPr="004C22EB">
        <w:rPr>
          <w:rFonts w:cs="Arial"/>
        </w:rPr>
        <w:t>)</w:t>
      </w:r>
      <w:r w:rsidR="00202CF8">
        <w:rPr>
          <w:rFonts w:cs="Arial"/>
        </w:rPr>
        <w:t xml:space="preserve">. </w:t>
      </w:r>
    </w:p>
    <w:p w14:paraId="535503CD" w14:textId="77777777" w:rsidR="004C22EB" w:rsidRDefault="004C22EB" w:rsidP="00C87E84">
      <w:pPr>
        <w:rPr>
          <w:rFonts w:cs="Arial"/>
        </w:rPr>
      </w:pPr>
    </w:p>
    <w:p w14:paraId="0EDD8531" w14:textId="532F3CC7" w:rsidR="00F97215" w:rsidRPr="004C22EB" w:rsidRDefault="00B86F8B" w:rsidP="00F97215">
      <w:pPr>
        <w:rPr>
          <w:rFonts w:cs="Arial"/>
        </w:rPr>
      </w:pPr>
      <w:r>
        <w:rPr>
          <w:rFonts w:cs="Arial"/>
        </w:rPr>
        <w:t xml:space="preserve">Unlike the two earlier reviews, </w:t>
      </w:r>
      <w:proofErr w:type="spellStart"/>
      <w:r w:rsidR="00F97215" w:rsidRPr="004C22EB">
        <w:rPr>
          <w:rFonts w:cs="Arial"/>
        </w:rPr>
        <w:t>Brouwer</w:t>
      </w:r>
      <w:proofErr w:type="spellEnd"/>
      <w:r w:rsidR="00F97215" w:rsidRPr="004C22EB">
        <w:rPr>
          <w:rFonts w:cs="Arial"/>
        </w:rPr>
        <w:t xml:space="preserve"> et al</w:t>
      </w:r>
      <w:r w:rsidR="00F97215">
        <w:rPr>
          <w:rFonts w:cs="Arial"/>
        </w:rPr>
        <w:t>.</w:t>
      </w:r>
      <w:r w:rsidR="00F97215" w:rsidRPr="004C22EB">
        <w:rPr>
          <w:rFonts w:cs="Arial"/>
        </w:rPr>
        <w:t xml:space="preserve"> (2010) did not require the included studies to have </w:t>
      </w:r>
      <w:r>
        <w:rPr>
          <w:rFonts w:cs="Arial"/>
        </w:rPr>
        <w:t xml:space="preserve">had </w:t>
      </w:r>
      <w:r w:rsidR="00F97215" w:rsidRPr="004C22EB">
        <w:rPr>
          <w:rFonts w:cs="Arial"/>
        </w:rPr>
        <w:t xml:space="preserve">tightly </w:t>
      </w:r>
      <w:r>
        <w:rPr>
          <w:rFonts w:cs="Arial"/>
        </w:rPr>
        <w:t xml:space="preserve">control of food provided to participants (e.g. by providing all food consumed) </w:t>
      </w:r>
      <w:r w:rsidR="00F97215" w:rsidRPr="004C22EB">
        <w:rPr>
          <w:rFonts w:cs="Arial"/>
        </w:rPr>
        <w:t>and consequently included a greater number of studies for the period up to 2008 (covered by the other two reviews). Their analysis of industrial TFA</w:t>
      </w:r>
      <w:r w:rsidR="00F97215">
        <w:rPr>
          <w:rFonts w:cs="Arial"/>
        </w:rPr>
        <w:t>s</w:t>
      </w:r>
      <w:r w:rsidR="00F97215" w:rsidRPr="004C22EB">
        <w:rPr>
          <w:rFonts w:cs="Arial"/>
        </w:rPr>
        <w:t xml:space="preserve"> included additional studies conducted in both normocholesterolaemic and </w:t>
      </w:r>
      <w:proofErr w:type="spellStart"/>
      <w:r w:rsidR="00F97215" w:rsidRPr="004C22EB">
        <w:rPr>
          <w:rFonts w:cs="Arial"/>
        </w:rPr>
        <w:t>hypercholesterolaemic</w:t>
      </w:r>
      <w:proofErr w:type="spellEnd"/>
      <w:r w:rsidR="00F97215" w:rsidRPr="004C22EB">
        <w:rPr>
          <w:rFonts w:cs="Arial"/>
        </w:rPr>
        <w:t xml:space="preserve"> subjects (Table 2). </w:t>
      </w:r>
      <w:r w:rsidR="00F97215">
        <w:rPr>
          <w:rFonts w:cs="Arial"/>
        </w:rPr>
        <w:t xml:space="preserve">In relation to industrial TFAs </w:t>
      </w:r>
      <w:proofErr w:type="spellStart"/>
      <w:r w:rsidR="00F97215">
        <w:rPr>
          <w:rFonts w:cs="Arial"/>
        </w:rPr>
        <w:t>Brouwer</w:t>
      </w:r>
      <w:proofErr w:type="spellEnd"/>
      <w:r w:rsidR="00F97215">
        <w:rPr>
          <w:rFonts w:cs="Arial"/>
        </w:rPr>
        <w:t xml:space="preserve"> et al. (2010)</w:t>
      </w:r>
      <w:r w:rsidR="00F97215" w:rsidRPr="004C22EB">
        <w:rPr>
          <w:rFonts w:cs="Arial"/>
        </w:rPr>
        <w:t xml:space="preserve"> reported identical or larger changes in LDL-C and HDL-C </w:t>
      </w:r>
      <w:r w:rsidR="00F97215">
        <w:rPr>
          <w:rFonts w:cs="Arial"/>
        </w:rPr>
        <w:t>compared with</w:t>
      </w:r>
      <w:r w:rsidR="00F97215" w:rsidRPr="004C22EB">
        <w:rPr>
          <w:rFonts w:cs="Arial"/>
        </w:rPr>
        <w:t xml:space="preserve"> the previous reviews (Table 3). The five studies of ruminant TFA were all conducted in participants with normal cholesterol concentrations and effects on LDL-C and HDL-C were very similar to the effect seen in the industrial TFA trials. None of the studies using industrial TFA showed a favourable change in LDL-C whereas 2 of the 5 ruminant studies had a favourable change.</w:t>
      </w:r>
    </w:p>
    <w:p w14:paraId="634B67D0" w14:textId="77777777" w:rsidR="00F97215" w:rsidRPr="004C22EB" w:rsidRDefault="00F97215" w:rsidP="00F97215">
      <w:pPr>
        <w:rPr>
          <w:rFonts w:cs="Arial"/>
        </w:rPr>
      </w:pPr>
    </w:p>
    <w:p w14:paraId="01751EC9" w14:textId="2F40800A" w:rsidR="00F97215" w:rsidRPr="004C22EB" w:rsidRDefault="00F97215" w:rsidP="00F97215">
      <w:pPr>
        <w:rPr>
          <w:rFonts w:cs="Arial"/>
        </w:rPr>
      </w:pPr>
      <w:r w:rsidRPr="004C22EB">
        <w:rPr>
          <w:rFonts w:cs="Arial"/>
        </w:rPr>
        <w:t xml:space="preserve">More than half of the studies published after the review of </w:t>
      </w:r>
      <w:proofErr w:type="spellStart"/>
      <w:r w:rsidRPr="004C22EB">
        <w:rPr>
          <w:rFonts w:cs="Arial"/>
        </w:rPr>
        <w:t>Brouwer</w:t>
      </w:r>
      <w:proofErr w:type="spellEnd"/>
      <w:r w:rsidRPr="004C22EB">
        <w:rPr>
          <w:rFonts w:cs="Arial"/>
        </w:rPr>
        <w:t xml:space="preserve"> </w:t>
      </w:r>
      <w:r w:rsidR="00433834">
        <w:rPr>
          <w:rFonts w:cs="Arial"/>
        </w:rPr>
        <w:t>et al.</w:t>
      </w:r>
      <w:r w:rsidR="001307F7">
        <w:rPr>
          <w:rFonts w:cs="Arial"/>
        </w:rPr>
        <w:t xml:space="preserve"> </w:t>
      </w:r>
      <w:r w:rsidRPr="004C22EB">
        <w:rPr>
          <w:rFonts w:cs="Arial"/>
        </w:rPr>
        <w:t>(2010) and added to the 2014 update (</w:t>
      </w:r>
      <w:proofErr w:type="spellStart"/>
      <w:r>
        <w:rPr>
          <w:rFonts w:cs="Arial"/>
        </w:rPr>
        <w:t>Hafekost</w:t>
      </w:r>
      <w:proofErr w:type="spellEnd"/>
      <w:r>
        <w:rPr>
          <w:rFonts w:cs="Arial"/>
        </w:rPr>
        <w:t xml:space="preserve"> et al.</w:t>
      </w:r>
      <w:r w:rsidRPr="004C22EB">
        <w:rPr>
          <w:rFonts w:cs="Arial"/>
        </w:rPr>
        <w:t xml:space="preserve"> 2014) </w:t>
      </w:r>
      <w:r>
        <w:rPr>
          <w:rFonts w:cs="Arial"/>
        </w:rPr>
        <w:t>were</w:t>
      </w:r>
      <w:r w:rsidRPr="004C22EB">
        <w:rPr>
          <w:rFonts w:cs="Arial"/>
        </w:rPr>
        <w:t xml:space="preserve"> conducted in normocholesterolaemic participants (Table 2). When </w:t>
      </w:r>
      <w:r>
        <w:rPr>
          <w:rFonts w:cs="Arial"/>
        </w:rPr>
        <w:t xml:space="preserve">the studies involving </w:t>
      </w:r>
      <w:r w:rsidRPr="004C22EB">
        <w:rPr>
          <w:rFonts w:cs="Arial"/>
        </w:rPr>
        <w:t>normocholesterolaemic</w:t>
      </w:r>
      <w:r>
        <w:rPr>
          <w:rFonts w:cs="Arial"/>
        </w:rPr>
        <w:t xml:space="preserve"> participants</w:t>
      </w:r>
      <w:r w:rsidRPr="004C22EB">
        <w:rPr>
          <w:rFonts w:cs="Arial"/>
        </w:rPr>
        <w:t xml:space="preserve"> are combined with the data brought forward from </w:t>
      </w:r>
      <w:proofErr w:type="spellStart"/>
      <w:r w:rsidRPr="004C22EB">
        <w:rPr>
          <w:rFonts w:cs="Arial"/>
        </w:rPr>
        <w:t>Brouwer</w:t>
      </w:r>
      <w:proofErr w:type="spellEnd"/>
      <w:r w:rsidRPr="004C22EB">
        <w:rPr>
          <w:rFonts w:cs="Arial"/>
        </w:rPr>
        <w:t xml:space="preserve"> et al</w:t>
      </w:r>
      <w:r>
        <w:rPr>
          <w:rFonts w:cs="Arial"/>
        </w:rPr>
        <w:t>.</w:t>
      </w:r>
      <w:r w:rsidRPr="004C22EB">
        <w:rPr>
          <w:rFonts w:cs="Arial"/>
        </w:rPr>
        <w:t xml:space="preserve"> (2010), the results for LDL-C and HDL-C do not change previous results importantly (Table 3). (When considered alone, the effect for the </w:t>
      </w:r>
      <w:r w:rsidR="00C666A0">
        <w:rPr>
          <w:rFonts w:cs="Arial"/>
        </w:rPr>
        <w:t>studies</w:t>
      </w:r>
      <w:r w:rsidRPr="004C22EB">
        <w:rPr>
          <w:rFonts w:cs="Arial"/>
        </w:rPr>
        <w:t xml:space="preserve"> contained in the update was a smaller effect on LDL-C and total-C than the previous estimates. About half the new studies use ruminant TFA</w:t>
      </w:r>
      <w:r>
        <w:rPr>
          <w:rFonts w:cs="Arial"/>
        </w:rPr>
        <w:t>s</w:t>
      </w:r>
      <w:r w:rsidRPr="004C22EB">
        <w:rPr>
          <w:rFonts w:cs="Arial"/>
        </w:rPr>
        <w:t xml:space="preserve">, and studies using this </w:t>
      </w:r>
      <w:r w:rsidR="00B86F8B">
        <w:rPr>
          <w:rFonts w:cs="Arial"/>
        </w:rPr>
        <w:t xml:space="preserve">substance </w:t>
      </w:r>
      <w:r w:rsidRPr="004C22EB">
        <w:rPr>
          <w:rFonts w:cs="Arial"/>
        </w:rPr>
        <w:t xml:space="preserve">tend to give smaller amounts </w:t>
      </w:r>
      <w:r w:rsidR="00B86F8B">
        <w:rPr>
          <w:rFonts w:cs="Arial"/>
        </w:rPr>
        <w:t xml:space="preserve">in the test diet to study participants </w:t>
      </w:r>
      <w:r w:rsidRPr="004C22EB">
        <w:rPr>
          <w:rFonts w:cs="Arial"/>
        </w:rPr>
        <w:t>than studies testing industrial TFA</w:t>
      </w:r>
      <w:r>
        <w:rPr>
          <w:rFonts w:cs="Arial"/>
        </w:rPr>
        <w:t>s</w:t>
      </w:r>
      <w:r w:rsidRPr="004C22EB">
        <w:rPr>
          <w:rFonts w:cs="Arial"/>
        </w:rPr>
        <w:t xml:space="preserve">, hence a smaller effect would be expected.) </w:t>
      </w:r>
    </w:p>
    <w:p w14:paraId="052AC038" w14:textId="77777777" w:rsidR="00F97215" w:rsidRPr="004C22EB" w:rsidRDefault="00F97215" w:rsidP="00F97215">
      <w:pPr>
        <w:rPr>
          <w:rFonts w:cs="Arial"/>
        </w:rPr>
      </w:pPr>
    </w:p>
    <w:p w14:paraId="541CC47D" w14:textId="77777777" w:rsidR="00F97215" w:rsidRPr="004C22EB" w:rsidRDefault="00F97215" w:rsidP="00F97215">
      <w:pPr>
        <w:rPr>
          <w:rFonts w:cs="Arial"/>
        </w:rPr>
      </w:pPr>
      <w:r w:rsidRPr="004C22EB">
        <w:rPr>
          <w:rFonts w:cs="Arial"/>
        </w:rPr>
        <w:t xml:space="preserve">Therefore FSANZ concludes that the relationship applies to people with normal cholesterol concentrations. </w:t>
      </w:r>
    </w:p>
    <w:p w14:paraId="7F7FB299" w14:textId="77777777" w:rsidR="004C22EB" w:rsidRPr="004C22EB" w:rsidRDefault="004C22EB" w:rsidP="00C87E84">
      <w:pPr>
        <w:rPr>
          <w:rFonts w:cs="Arial"/>
        </w:rPr>
      </w:pPr>
    </w:p>
    <w:p w14:paraId="1851C433" w14:textId="77777777" w:rsidR="00F97215" w:rsidRDefault="00F97215">
      <w:pPr>
        <w:rPr>
          <w:rFonts w:cs="Arial"/>
          <w:b/>
          <w:i/>
        </w:rPr>
      </w:pPr>
      <w:r>
        <w:rPr>
          <w:rFonts w:cs="Arial"/>
          <w:b/>
          <w:i/>
        </w:rPr>
        <w:br w:type="page"/>
      </w:r>
    </w:p>
    <w:p w14:paraId="5EB48475" w14:textId="1D45585E" w:rsidR="00C87E84" w:rsidRPr="004B560C" w:rsidRDefault="00C87E84" w:rsidP="004B560C">
      <w:pPr>
        <w:pStyle w:val="Table2"/>
        <w:ind w:left="709" w:hanging="709"/>
      </w:pPr>
      <w:r w:rsidRPr="004B560C">
        <w:rPr>
          <w:b/>
        </w:rPr>
        <w:lastRenderedPageBreak/>
        <w:t xml:space="preserve">Table </w:t>
      </w:r>
      <w:r w:rsidR="001C59FC" w:rsidRPr="004B560C">
        <w:rPr>
          <w:b/>
        </w:rPr>
        <w:t>2</w:t>
      </w:r>
      <w:r w:rsidR="004B560C" w:rsidRPr="004B560C">
        <w:rPr>
          <w:b/>
        </w:rPr>
        <w:t>:</w:t>
      </w:r>
      <w:r w:rsidR="004B560C">
        <w:t xml:space="preserve"> </w:t>
      </w:r>
      <w:r w:rsidRPr="004B560C">
        <w:t xml:space="preserve">Studies included in the four systematic reviews (shaded studies </w:t>
      </w:r>
      <w:r w:rsidR="004B560C">
        <w:t xml:space="preserve">were conducted in subjects with </w:t>
      </w:r>
      <w:r w:rsidR="00ED33E7" w:rsidRPr="004B560C">
        <w:t xml:space="preserve">baseline </w:t>
      </w:r>
      <w:r w:rsidRPr="004B560C">
        <w:t>mean total</w:t>
      </w:r>
      <w:r w:rsidR="00ED33E7" w:rsidRPr="004B560C">
        <w:t>-C</w:t>
      </w:r>
      <w:r w:rsidRPr="004B560C">
        <w:t xml:space="preserve"> concentration &gt;5.5mmol/L)</w:t>
      </w:r>
    </w:p>
    <w:p w14:paraId="4E4A5897" w14:textId="77777777" w:rsidR="00C87E84" w:rsidRPr="004C22EB" w:rsidRDefault="00C87E84" w:rsidP="00C87E84">
      <w:pPr>
        <w:rPr>
          <w:rFonts w:cs="Arial"/>
        </w:rPr>
      </w:pPr>
    </w:p>
    <w:tbl>
      <w:tblPr>
        <w:tblW w:w="9229" w:type="dxa"/>
        <w:tblInd w:w="93" w:type="dxa"/>
        <w:tblLayout w:type="fixed"/>
        <w:tblLook w:val="04A0" w:firstRow="1" w:lastRow="0" w:firstColumn="1" w:lastColumn="0" w:noHBand="0" w:noVBand="1"/>
      </w:tblPr>
      <w:tblGrid>
        <w:gridCol w:w="2425"/>
        <w:gridCol w:w="1276"/>
        <w:gridCol w:w="850"/>
        <w:gridCol w:w="993"/>
        <w:gridCol w:w="1275"/>
        <w:gridCol w:w="1276"/>
        <w:gridCol w:w="1134"/>
      </w:tblGrid>
      <w:tr w:rsidR="00860334" w:rsidRPr="004C22EB" w14:paraId="73625BAA" w14:textId="77777777" w:rsidTr="004B560C">
        <w:trPr>
          <w:cantSplit/>
          <w:trHeight w:val="488"/>
          <w:tblHeader/>
        </w:trPr>
        <w:tc>
          <w:tcPr>
            <w:tcW w:w="45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F1167" w14:textId="76AD2104" w:rsidR="00860334" w:rsidRPr="00A31EEC" w:rsidRDefault="00860334" w:rsidP="009B1891">
            <w:pPr>
              <w:jc w:val="center"/>
              <w:rPr>
                <w:rFonts w:eastAsia="Times New Roman" w:cs="Arial"/>
                <w:bCs/>
                <w:iCs/>
                <w:color w:val="000000"/>
                <w:sz w:val="20"/>
                <w:szCs w:val="20"/>
                <w:lang w:eastAsia="en-GB"/>
              </w:rPr>
            </w:pPr>
            <w:r w:rsidRPr="00A31EEC">
              <w:rPr>
                <w:rFonts w:eastAsia="Times New Roman" w:cs="Arial"/>
                <w:bCs/>
                <w:iCs/>
                <w:color w:val="000000"/>
                <w:sz w:val="20"/>
                <w:szCs w:val="20"/>
                <w:lang w:eastAsia="en-GB"/>
              </w:rPr>
              <w:t>Study</w:t>
            </w:r>
          </w:p>
        </w:tc>
        <w:tc>
          <w:tcPr>
            <w:tcW w:w="467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B719C" w14:textId="02A60712" w:rsidR="00860334" w:rsidRPr="00A31EEC" w:rsidRDefault="00193FE1" w:rsidP="00193FE1">
            <w:pPr>
              <w:jc w:val="center"/>
              <w:rPr>
                <w:rFonts w:eastAsia="Times New Roman" w:cs="Arial"/>
                <w:bCs/>
                <w:iCs/>
                <w:color w:val="000000"/>
                <w:sz w:val="20"/>
                <w:szCs w:val="20"/>
                <w:lang w:eastAsia="en-GB"/>
              </w:rPr>
            </w:pPr>
            <w:r w:rsidRPr="00A31EEC">
              <w:rPr>
                <w:rFonts w:eastAsia="Times New Roman" w:cs="Arial"/>
                <w:bCs/>
                <w:iCs/>
                <w:color w:val="000000"/>
                <w:sz w:val="20"/>
                <w:szCs w:val="20"/>
                <w:lang w:eastAsia="en-GB"/>
              </w:rPr>
              <w:t>Study included in</w:t>
            </w:r>
            <w:r w:rsidR="00A31EEC">
              <w:rPr>
                <w:rFonts w:eastAsia="Times New Roman" w:cs="Arial"/>
                <w:bCs/>
                <w:iCs/>
                <w:color w:val="000000"/>
                <w:sz w:val="20"/>
                <w:szCs w:val="20"/>
                <w:vertAlign w:val="superscript"/>
                <w:lang w:eastAsia="en-GB"/>
              </w:rPr>
              <w:t xml:space="preserve"> </w:t>
            </w:r>
            <w:r w:rsidR="00A31EEC">
              <w:rPr>
                <w:rFonts w:eastAsia="Times New Roman" w:cs="Arial"/>
                <w:bCs/>
                <w:iCs/>
                <w:color w:val="000000"/>
                <w:sz w:val="20"/>
                <w:szCs w:val="20"/>
                <w:lang w:eastAsia="en-GB"/>
              </w:rPr>
              <w:t xml:space="preserve">review shown </w:t>
            </w:r>
            <w:proofErr w:type="spellStart"/>
            <w:r w:rsidR="00A31EEC">
              <w:rPr>
                <w:rFonts w:eastAsia="Times New Roman" w:cs="Arial"/>
                <w:bCs/>
                <w:iCs/>
                <w:color w:val="000000"/>
                <w:sz w:val="20"/>
                <w:szCs w:val="20"/>
                <w:lang w:eastAsia="en-GB"/>
              </w:rPr>
              <w:t>below</w:t>
            </w:r>
            <w:r w:rsidR="00CD110C" w:rsidRPr="00741965">
              <w:rPr>
                <w:rFonts w:eastAsia="Times New Roman" w:cs="Arial"/>
                <w:bCs/>
                <w:iCs/>
                <w:color w:val="000000"/>
                <w:vertAlign w:val="superscript"/>
                <w:lang w:eastAsia="en-GB"/>
              </w:rPr>
              <w:t>a</w:t>
            </w:r>
            <w:proofErr w:type="spellEnd"/>
          </w:p>
        </w:tc>
      </w:tr>
      <w:tr w:rsidR="00C87E84" w:rsidRPr="004C22EB" w14:paraId="3CB9CDC9" w14:textId="77777777" w:rsidTr="004B560C">
        <w:trPr>
          <w:cantSplit/>
          <w:trHeight w:val="1535"/>
        </w:trPr>
        <w:tc>
          <w:tcPr>
            <w:tcW w:w="2425" w:type="dxa"/>
            <w:tcBorders>
              <w:top w:val="single" w:sz="4" w:space="0" w:color="auto"/>
              <w:left w:val="single" w:sz="4" w:space="0" w:color="auto"/>
              <w:bottom w:val="double" w:sz="4" w:space="0" w:color="auto"/>
              <w:right w:val="single" w:sz="4" w:space="0" w:color="auto"/>
            </w:tcBorders>
            <w:shd w:val="clear" w:color="000000" w:fill="FFFFFF"/>
            <w:vAlign w:val="center"/>
            <w:hideMark/>
          </w:tcPr>
          <w:p w14:paraId="1F637B7A" w14:textId="77777777" w:rsidR="00C87E84" w:rsidRPr="004C22EB" w:rsidRDefault="00C87E84" w:rsidP="009B1891">
            <w:pPr>
              <w:jc w:val="center"/>
              <w:rPr>
                <w:rFonts w:eastAsia="Times New Roman" w:cs="Arial"/>
                <w:bCs/>
                <w:iCs/>
                <w:color w:val="000000"/>
                <w:sz w:val="20"/>
                <w:szCs w:val="20"/>
                <w:lang w:eastAsia="en-GB"/>
              </w:rPr>
            </w:pPr>
            <w:r w:rsidRPr="004C22EB">
              <w:rPr>
                <w:rFonts w:eastAsia="Times New Roman" w:cs="Arial"/>
                <w:bCs/>
                <w:iCs/>
                <w:color w:val="000000"/>
                <w:sz w:val="20"/>
                <w:szCs w:val="20"/>
                <w:lang w:eastAsia="en-GB"/>
              </w:rPr>
              <w:t>Author, year of publication</w:t>
            </w:r>
          </w:p>
        </w:tc>
        <w:tc>
          <w:tcPr>
            <w:tcW w:w="1276" w:type="dxa"/>
            <w:tcBorders>
              <w:top w:val="single" w:sz="4" w:space="0" w:color="auto"/>
              <w:left w:val="nil"/>
              <w:bottom w:val="double" w:sz="4" w:space="0" w:color="auto"/>
              <w:right w:val="single" w:sz="4" w:space="0" w:color="auto"/>
            </w:tcBorders>
            <w:shd w:val="clear" w:color="000000" w:fill="FFFFFF"/>
            <w:vAlign w:val="center"/>
          </w:tcPr>
          <w:p w14:paraId="4684AE64" w14:textId="672F73E8" w:rsidR="00C87E84" w:rsidRPr="004C22EB" w:rsidRDefault="00C87E84" w:rsidP="00F94E52">
            <w:pPr>
              <w:jc w:val="center"/>
              <w:rPr>
                <w:rFonts w:eastAsia="Times New Roman" w:cs="Arial"/>
                <w:bCs/>
                <w:iCs/>
                <w:color w:val="000000"/>
                <w:sz w:val="20"/>
                <w:szCs w:val="20"/>
                <w:lang w:eastAsia="en-GB"/>
              </w:rPr>
            </w:pPr>
            <w:r w:rsidRPr="004C22EB">
              <w:rPr>
                <w:rFonts w:eastAsia="Times New Roman" w:cs="Arial"/>
                <w:bCs/>
                <w:iCs/>
                <w:color w:val="000000"/>
                <w:sz w:val="20"/>
                <w:szCs w:val="20"/>
                <w:lang w:eastAsia="en-GB"/>
              </w:rPr>
              <w:t>Total-C (</w:t>
            </w:r>
            <w:proofErr w:type="spellStart"/>
            <w:r w:rsidRPr="004C22EB">
              <w:rPr>
                <w:rFonts w:eastAsia="Times New Roman" w:cs="Arial"/>
                <w:bCs/>
                <w:iCs/>
                <w:color w:val="000000"/>
                <w:sz w:val="20"/>
                <w:szCs w:val="20"/>
                <w:lang w:eastAsia="en-GB"/>
              </w:rPr>
              <w:t>mmol</w:t>
            </w:r>
            <w:proofErr w:type="spellEnd"/>
            <w:r w:rsidRPr="004C22EB">
              <w:rPr>
                <w:rFonts w:eastAsia="Times New Roman" w:cs="Arial"/>
                <w:bCs/>
                <w:iCs/>
                <w:color w:val="000000"/>
                <w:sz w:val="20"/>
                <w:szCs w:val="20"/>
                <w:lang w:eastAsia="en-GB"/>
              </w:rPr>
              <w:t>/L)</w:t>
            </w:r>
            <w:r w:rsidR="00CD110C" w:rsidRPr="00741965">
              <w:rPr>
                <w:rFonts w:eastAsia="Times New Roman" w:cs="Arial"/>
                <w:bCs/>
                <w:iCs/>
                <w:color w:val="000000"/>
                <w:vertAlign w:val="superscript"/>
                <w:lang w:eastAsia="en-GB"/>
              </w:rPr>
              <w:t>b</w:t>
            </w:r>
          </w:p>
        </w:tc>
        <w:tc>
          <w:tcPr>
            <w:tcW w:w="850" w:type="dxa"/>
            <w:tcBorders>
              <w:top w:val="single" w:sz="4" w:space="0" w:color="auto"/>
              <w:left w:val="single" w:sz="4" w:space="0" w:color="auto"/>
              <w:bottom w:val="double" w:sz="4" w:space="0" w:color="auto"/>
              <w:right w:val="single" w:sz="4" w:space="0" w:color="auto"/>
            </w:tcBorders>
            <w:shd w:val="clear" w:color="000000" w:fill="FFFFFF"/>
            <w:vAlign w:val="center"/>
            <w:hideMark/>
          </w:tcPr>
          <w:p w14:paraId="6B231F92" w14:textId="0F0D96E2" w:rsidR="00C87E84" w:rsidRPr="004C22EB" w:rsidRDefault="00C87E84" w:rsidP="009B1891">
            <w:pPr>
              <w:jc w:val="center"/>
              <w:rPr>
                <w:rFonts w:eastAsia="Times New Roman" w:cs="Arial"/>
                <w:bCs/>
                <w:iCs/>
                <w:color w:val="000000"/>
                <w:sz w:val="20"/>
                <w:szCs w:val="20"/>
                <w:lang w:eastAsia="en-GB"/>
              </w:rPr>
            </w:pPr>
            <w:r w:rsidRPr="004C22EB">
              <w:rPr>
                <w:rFonts w:eastAsia="Times New Roman" w:cs="Arial"/>
                <w:bCs/>
                <w:iCs/>
                <w:color w:val="000000"/>
                <w:sz w:val="20"/>
                <w:szCs w:val="20"/>
                <w:lang w:eastAsia="en-GB"/>
              </w:rPr>
              <w:t xml:space="preserve">type of </w:t>
            </w:r>
            <w:proofErr w:type="spellStart"/>
            <w:r w:rsidRPr="004C22EB">
              <w:rPr>
                <w:rFonts w:eastAsia="Times New Roman" w:cs="Arial"/>
                <w:bCs/>
                <w:iCs/>
                <w:color w:val="000000"/>
                <w:sz w:val="20"/>
                <w:szCs w:val="20"/>
                <w:lang w:eastAsia="en-GB"/>
              </w:rPr>
              <w:t>TFA</w:t>
            </w:r>
            <w:r w:rsidR="00CD110C" w:rsidRPr="00741965">
              <w:rPr>
                <w:rFonts w:eastAsia="Times New Roman" w:cs="Arial"/>
                <w:bCs/>
                <w:iCs/>
                <w:color w:val="000000"/>
                <w:vertAlign w:val="superscript"/>
                <w:lang w:eastAsia="en-GB"/>
              </w:rPr>
              <w:t>c</w:t>
            </w:r>
            <w:proofErr w:type="spellEnd"/>
          </w:p>
        </w:tc>
        <w:tc>
          <w:tcPr>
            <w:tcW w:w="993" w:type="dxa"/>
            <w:tcBorders>
              <w:top w:val="single" w:sz="4" w:space="0" w:color="auto"/>
              <w:left w:val="single" w:sz="4" w:space="0" w:color="auto"/>
              <w:bottom w:val="double" w:sz="4" w:space="0" w:color="auto"/>
              <w:right w:val="single" w:sz="4" w:space="0" w:color="auto"/>
            </w:tcBorders>
            <w:shd w:val="clear" w:color="000000" w:fill="FFFFFF"/>
            <w:vAlign w:val="center"/>
            <w:hideMark/>
          </w:tcPr>
          <w:p w14:paraId="3D7F1DCC" w14:textId="3EC037B7" w:rsidR="00C87E84" w:rsidRPr="004C22EB" w:rsidRDefault="00C87E84" w:rsidP="009B1891">
            <w:pPr>
              <w:jc w:val="center"/>
              <w:rPr>
                <w:rFonts w:eastAsia="Times New Roman" w:cs="Arial"/>
                <w:bCs/>
                <w:iCs/>
                <w:color w:val="000000"/>
                <w:sz w:val="20"/>
                <w:szCs w:val="20"/>
                <w:lang w:eastAsia="en-GB"/>
              </w:rPr>
            </w:pPr>
            <w:proofErr w:type="spellStart"/>
            <w:r w:rsidRPr="004C22EB">
              <w:rPr>
                <w:rFonts w:eastAsia="Times New Roman" w:cs="Arial"/>
                <w:bCs/>
                <w:iCs/>
                <w:color w:val="000000"/>
                <w:sz w:val="20"/>
                <w:szCs w:val="20"/>
                <w:lang w:eastAsia="en-GB"/>
              </w:rPr>
              <w:t>Mensink</w:t>
            </w:r>
            <w:proofErr w:type="spellEnd"/>
            <w:r w:rsidRPr="004C22EB">
              <w:rPr>
                <w:rFonts w:eastAsia="Times New Roman" w:cs="Arial"/>
                <w:bCs/>
                <w:iCs/>
                <w:color w:val="000000"/>
                <w:sz w:val="20"/>
                <w:szCs w:val="20"/>
                <w:lang w:eastAsia="en-GB"/>
              </w:rPr>
              <w:t xml:space="preserve"> et al</w:t>
            </w:r>
            <w:r w:rsidR="00C219E4">
              <w:rPr>
                <w:rFonts w:eastAsia="Times New Roman" w:cs="Arial"/>
                <w:bCs/>
                <w:iCs/>
                <w:color w:val="000000"/>
                <w:sz w:val="20"/>
                <w:szCs w:val="20"/>
                <w:lang w:eastAsia="en-GB"/>
              </w:rPr>
              <w:t>.</w:t>
            </w:r>
            <w:r w:rsidRPr="004C22EB">
              <w:rPr>
                <w:rFonts w:eastAsia="Times New Roman" w:cs="Arial"/>
                <w:bCs/>
                <w:iCs/>
                <w:color w:val="000000"/>
                <w:sz w:val="20"/>
                <w:szCs w:val="20"/>
                <w:lang w:eastAsia="en-GB"/>
              </w:rPr>
              <w:t xml:space="preserve"> 2003</w:t>
            </w:r>
          </w:p>
        </w:tc>
        <w:tc>
          <w:tcPr>
            <w:tcW w:w="1275" w:type="dxa"/>
            <w:tcBorders>
              <w:top w:val="single" w:sz="4" w:space="0" w:color="auto"/>
              <w:left w:val="nil"/>
              <w:bottom w:val="double" w:sz="4" w:space="0" w:color="auto"/>
              <w:right w:val="single" w:sz="4" w:space="0" w:color="auto"/>
            </w:tcBorders>
            <w:shd w:val="clear" w:color="000000" w:fill="FFFFFF"/>
            <w:vAlign w:val="center"/>
            <w:hideMark/>
          </w:tcPr>
          <w:p w14:paraId="50A6FB64" w14:textId="028717BF" w:rsidR="00C87E84" w:rsidRPr="004C22EB" w:rsidRDefault="00C87E84" w:rsidP="009B1891">
            <w:pPr>
              <w:jc w:val="center"/>
              <w:rPr>
                <w:rFonts w:eastAsia="Times New Roman" w:cs="Arial"/>
                <w:bCs/>
                <w:iCs/>
                <w:color w:val="000000"/>
                <w:sz w:val="20"/>
                <w:szCs w:val="20"/>
                <w:lang w:eastAsia="en-GB"/>
              </w:rPr>
            </w:pPr>
            <w:proofErr w:type="spellStart"/>
            <w:r w:rsidRPr="004C22EB">
              <w:rPr>
                <w:rFonts w:eastAsia="Times New Roman" w:cs="Arial"/>
                <w:bCs/>
                <w:iCs/>
                <w:color w:val="000000"/>
                <w:sz w:val="20"/>
                <w:szCs w:val="20"/>
                <w:lang w:eastAsia="en-GB"/>
              </w:rPr>
              <w:t>Mozaffarian</w:t>
            </w:r>
            <w:proofErr w:type="spellEnd"/>
            <w:r w:rsidRPr="004C22EB">
              <w:rPr>
                <w:rFonts w:eastAsia="Times New Roman" w:cs="Arial"/>
                <w:bCs/>
                <w:iCs/>
                <w:color w:val="000000"/>
                <w:sz w:val="20"/>
                <w:szCs w:val="20"/>
                <w:lang w:eastAsia="en-GB"/>
              </w:rPr>
              <w:t xml:space="preserve"> &amp; Clarke, 200</w:t>
            </w:r>
            <w:r w:rsidR="00B1144D">
              <w:rPr>
                <w:rFonts w:eastAsia="Times New Roman" w:cs="Arial"/>
                <w:bCs/>
                <w:iCs/>
                <w:color w:val="000000"/>
                <w:sz w:val="20"/>
                <w:szCs w:val="20"/>
                <w:lang w:eastAsia="en-GB"/>
              </w:rPr>
              <w:t>9</w:t>
            </w:r>
          </w:p>
        </w:tc>
        <w:tc>
          <w:tcPr>
            <w:tcW w:w="1276" w:type="dxa"/>
            <w:tcBorders>
              <w:top w:val="single" w:sz="4" w:space="0" w:color="auto"/>
              <w:left w:val="nil"/>
              <w:bottom w:val="double" w:sz="4" w:space="0" w:color="auto"/>
              <w:right w:val="single" w:sz="4" w:space="0" w:color="auto"/>
            </w:tcBorders>
            <w:shd w:val="clear" w:color="000000" w:fill="FFFFFF"/>
            <w:vAlign w:val="center"/>
            <w:hideMark/>
          </w:tcPr>
          <w:p w14:paraId="310714D4" w14:textId="0E7482B7" w:rsidR="00C87E84" w:rsidRPr="004C22EB" w:rsidRDefault="00C87E84" w:rsidP="009B1891">
            <w:pPr>
              <w:jc w:val="center"/>
              <w:rPr>
                <w:rFonts w:eastAsia="Times New Roman" w:cs="Arial"/>
                <w:bCs/>
                <w:iCs/>
                <w:color w:val="000000"/>
                <w:sz w:val="20"/>
                <w:szCs w:val="20"/>
                <w:lang w:eastAsia="en-GB"/>
              </w:rPr>
            </w:pPr>
            <w:proofErr w:type="spellStart"/>
            <w:r w:rsidRPr="004C22EB">
              <w:rPr>
                <w:rFonts w:eastAsia="Times New Roman" w:cs="Arial"/>
                <w:bCs/>
                <w:iCs/>
                <w:color w:val="000000"/>
                <w:sz w:val="20"/>
                <w:szCs w:val="20"/>
                <w:lang w:eastAsia="en-GB"/>
              </w:rPr>
              <w:t>Brouwer</w:t>
            </w:r>
            <w:proofErr w:type="spellEnd"/>
            <w:r w:rsidRPr="004C22EB">
              <w:rPr>
                <w:rFonts w:eastAsia="Times New Roman" w:cs="Arial"/>
                <w:bCs/>
                <w:iCs/>
                <w:color w:val="000000"/>
                <w:sz w:val="20"/>
                <w:szCs w:val="20"/>
                <w:lang w:eastAsia="en-GB"/>
              </w:rPr>
              <w:t xml:space="preserve"> et al</w:t>
            </w:r>
            <w:r w:rsidR="00C219E4">
              <w:rPr>
                <w:rFonts w:eastAsia="Times New Roman" w:cs="Arial"/>
                <w:bCs/>
                <w:iCs/>
                <w:color w:val="000000"/>
                <w:sz w:val="20"/>
                <w:szCs w:val="20"/>
                <w:lang w:eastAsia="en-GB"/>
              </w:rPr>
              <w:t>.</w:t>
            </w:r>
            <w:r w:rsidRPr="004C22EB">
              <w:rPr>
                <w:rFonts w:eastAsia="Times New Roman" w:cs="Arial"/>
                <w:bCs/>
                <w:iCs/>
                <w:color w:val="000000"/>
                <w:sz w:val="20"/>
                <w:szCs w:val="20"/>
                <w:lang w:eastAsia="en-GB"/>
              </w:rPr>
              <w:t xml:space="preserve"> 2010,  industrial or ruminant TFA sub-groups</w:t>
            </w:r>
          </w:p>
        </w:tc>
        <w:tc>
          <w:tcPr>
            <w:tcW w:w="1134" w:type="dxa"/>
            <w:tcBorders>
              <w:top w:val="single" w:sz="4" w:space="0" w:color="auto"/>
              <w:left w:val="nil"/>
              <w:bottom w:val="double" w:sz="4" w:space="0" w:color="auto"/>
              <w:right w:val="single" w:sz="4" w:space="0" w:color="auto"/>
            </w:tcBorders>
            <w:shd w:val="clear" w:color="000000" w:fill="FFFFFF"/>
            <w:vAlign w:val="center"/>
            <w:hideMark/>
          </w:tcPr>
          <w:p w14:paraId="77B6D943" w14:textId="1F6DE840" w:rsidR="00C87E84" w:rsidRPr="004C22EB" w:rsidRDefault="00C219E4" w:rsidP="00C219E4">
            <w:pPr>
              <w:jc w:val="center"/>
              <w:rPr>
                <w:rFonts w:eastAsia="Times New Roman" w:cs="Arial"/>
                <w:bCs/>
                <w:iCs/>
                <w:color w:val="000000"/>
                <w:sz w:val="20"/>
                <w:szCs w:val="20"/>
                <w:lang w:eastAsia="en-GB"/>
              </w:rPr>
            </w:pPr>
            <w:proofErr w:type="spellStart"/>
            <w:r w:rsidRPr="004C22EB">
              <w:rPr>
                <w:rFonts w:eastAsia="Times New Roman" w:cs="Arial"/>
                <w:bCs/>
                <w:iCs/>
                <w:color w:val="000000"/>
                <w:sz w:val="20"/>
                <w:szCs w:val="20"/>
                <w:lang w:eastAsia="en-GB"/>
              </w:rPr>
              <w:t>H</w:t>
            </w:r>
            <w:r>
              <w:rPr>
                <w:rFonts w:eastAsia="Times New Roman" w:cs="Arial"/>
                <w:bCs/>
                <w:iCs/>
                <w:color w:val="000000"/>
                <w:sz w:val="20"/>
                <w:szCs w:val="20"/>
                <w:lang w:eastAsia="en-GB"/>
              </w:rPr>
              <w:t>a</w:t>
            </w:r>
            <w:r w:rsidRPr="004C22EB">
              <w:rPr>
                <w:rFonts w:eastAsia="Times New Roman" w:cs="Arial"/>
                <w:bCs/>
                <w:iCs/>
                <w:color w:val="000000"/>
                <w:sz w:val="20"/>
                <w:szCs w:val="20"/>
                <w:lang w:eastAsia="en-GB"/>
              </w:rPr>
              <w:t>fekost</w:t>
            </w:r>
            <w:proofErr w:type="spellEnd"/>
            <w:r w:rsidRPr="004C22EB">
              <w:rPr>
                <w:rFonts w:eastAsia="Times New Roman" w:cs="Arial"/>
                <w:bCs/>
                <w:iCs/>
                <w:color w:val="000000"/>
                <w:sz w:val="20"/>
                <w:szCs w:val="20"/>
                <w:lang w:eastAsia="en-GB"/>
              </w:rPr>
              <w:t xml:space="preserve"> </w:t>
            </w:r>
            <w:r w:rsidR="00977EF3" w:rsidRPr="004C22EB">
              <w:rPr>
                <w:rFonts w:eastAsia="Times New Roman" w:cs="Arial"/>
                <w:bCs/>
                <w:iCs/>
                <w:color w:val="000000"/>
                <w:sz w:val="20"/>
                <w:szCs w:val="20"/>
                <w:lang w:eastAsia="en-GB"/>
              </w:rPr>
              <w:t>et al</w:t>
            </w:r>
            <w:r>
              <w:rPr>
                <w:rFonts w:eastAsia="Times New Roman" w:cs="Arial"/>
                <w:bCs/>
                <w:iCs/>
                <w:color w:val="000000"/>
                <w:sz w:val="20"/>
                <w:szCs w:val="20"/>
                <w:lang w:eastAsia="en-GB"/>
              </w:rPr>
              <w:t>.</w:t>
            </w:r>
            <w:r w:rsidR="00977EF3" w:rsidRPr="004C22EB">
              <w:rPr>
                <w:rFonts w:eastAsia="Times New Roman" w:cs="Arial"/>
                <w:bCs/>
                <w:iCs/>
                <w:color w:val="000000"/>
                <w:sz w:val="20"/>
                <w:szCs w:val="20"/>
                <w:lang w:eastAsia="en-GB"/>
              </w:rPr>
              <w:t xml:space="preserve"> </w:t>
            </w:r>
            <w:r w:rsidR="00C87E84" w:rsidRPr="004C22EB">
              <w:rPr>
                <w:rFonts w:eastAsia="Times New Roman" w:cs="Arial"/>
                <w:bCs/>
                <w:iCs/>
                <w:color w:val="000000"/>
                <w:sz w:val="20"/>
                <w:szCs w:val="20"/>
                <w:lang w:eastAsia="en-GB"/>
              </w:rPr>
              <w:t xml:space="preserve"> 2014</w:t>
            </w:r>
          </w:p>
        </w:tc>
      </w:tr>
      <w:tr w:rsidR="00C87E84" w:rsidRPr="004C22EB" w14:paraId="07FF3E9B" w14:textId="77777777" w:rsidTr="004B560C">
        <w:trPr>
          <w:trHeight w:val="540"/>
        </w:trPr>
        <w:tc>
          <w:tcPr>
            <w:tcW w:w="2425"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3F1867F8" w14:textId="5B4FCF51"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Laine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1982</w:t>
            </w:r>
          </w:p>
        </w:tc>
        <w:tc>
          <w:tcPr>
            <w:tcW w:w="1276" w:type="dxa"/>
            <w:tcBorders>
              <w:top w:val="double" w:sz="4" w:space="0" w:color="auto"/>
              <w:left w:val="nil"/>
              <w:bottom w:val="single" w:sz="4" w:space="0" w:color="auto"/>
              <w:right w:val="single" w:sz="4" w:space="0" w:color="auto"/>
            </w:tcBorders>
            <w:shd w:val="clear" w:color="000000" w:fill="FFFFFF"/>
            <w:vAlign w:val="center"/>
          </w:tcPr>
          <w:p w14:paraId="265967AB" w14:textId="7E0C13A9" w:rsidR="00C87E84" w:rsidRPr="004C22EB" w:rsidRDefault="00C87E84" w:rsidP="009B1891">
            <w:pPr>
              <w:jc w:val="center"/>
              <w:rPr>
                <w:rFonts w:ascii="Calibri" w:hAnsi="Calibri"/>
                <w:color w:val="000000"/>
              </w:rPr>
            </w:pPr>
            <w:r w:rsidRPr="004C22EB">
              <w:rPr>
                <w:rFonts w:eastAsia="Times New Roman" w:cs="Arial"/>
                <w:color w:val="000000"/>
                <w:sz w:val="20"/>
                <w:szCs w:val="20"/>
                <w:lang w:eastAsia="en-GB"/>
              </w:rPr>
              <w:t>&lt;5.5</w:t>
            </w:r>
            <w:r w:rsidR="00B91E8A" w:rsidRPr="00741965">
              <w:rPr>
                <w:rFonts w:cs="Arial"/>
                <w:b/>
                <w:color w:val="333333"/>
                <w:vertAlign w:val="superscript"/>
                <w:lang w:val="en"/>
              </w:rPr>
              <w:t>b</w:t>
            </w:r>
          </w:p>
        </w:tc>
        <w:tc>
          <w:tcPr>
            <w:tcW w:w="850" w:type="dxa"/>
            <w:tcBorders>
              <w:top w:val="double" w:sz="4" w:space="0" w:color="auto"/>
              <w:left w:val="single" w:sz="4" w:space="0" w:color="auto"/>
              <w:bottom w:val="single" w:sz="4" w:space="0" w:color="auto"/>
              <w:right w:val="single" w:sz="4" w:space="0" w:color="auto"/>
            </w:tcBorders>
            <w:shd w:val="clear" w:color="000000" w:fill="FFFFFF"/>
            <w:vAlign w:val="center"/>
            <w:hideMark/>
          </w:tcPr>
          <w:p w14:paraId="4EEAC50A"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double" w:sz="4" w:space="0" w:color="auto"/>
              <w:left w:val="single" w:sz="4" w:space="0" w:color="auto"/>
              <w:bottom w:val="single" w:sz="4" w:space="0" w:color="auto"/>
              <w:right w:val="single" w:sz="4" w:space="0" w:color="auto"/>
            </w:tcBorders>
            <w:shd w:val="clear" w:color="000000" w:fill="FFFFFF"/>
            <w:noWrap/>
            <w:vAlign w:val="center"/>
            <w:hideMark/>
          </w:tcPr>
          <w:p w14:paraId="1F95FA2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double" w:sz="4" w:space="0" w:color="auto"/>
              <w:left w:val="nil"/>
              <w:bottom w:val="single" w:sz="4" w:space="0" w:color="auto"/>
              <w:right w:val="single" w:sz="4" w:space="0" w:color="auto"/>
            </w:tcBorders>
            <w:shd w:val="clear" w:color="000000" w:fill="FFFFFF"/>
            <w:noWrap/>
            <w:vAlign w:val="center"/>
            <w:hideMark/>
          </w:tcPr>
          <w:p w14:paraId="57A9BA9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double" w:sz="4" w:space="0" w:color="auto"/>
              <w:left w:val="nil"/>
              <w:bottom w:val="single" w:sz="4" w:space="0" w:color="auto"/>
              <w:right w:val="single" w:sz="4" w:space="0" w:color="auto"/>
            </w:tcBorders>
            <w:shd w:val="clear" w:color="000000" w:fill="FFFFFF"/>
            <w:noWrap/>
            <w:vAlign w:val="center"/>
            <w:hideMark/>
          </w:tcPr>
          <w:p w14:paraId="25686E0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134" w:type="dxa"/>
            <w:tcBorders>
              <w:top w:val="double" w:sz="4" w:space="0" w:color="auto"/>
              <w:left w:val="nil"/>
              <w:bottom w:val="single" w:sz="4" w:space="0" w:color="auto"/>
              <w:right w:val="single" w:sz="4" w:space="0" w:color="auto"/>
            </w:tcBorders>
            <w:shd w:val="clear" w:color="000000" w:fill="FFFFFF"/>
            <w:noWrap/>
            <w:vAlign w:val="center"/>
            <w:hideMark/>
          </w:tcPr>
          <w:p w14:paraId="3251D25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r>
      <w:tr w:rsidR="00C87E84" w:rsidRPr="004C22EB" w14:paraId="299A18D3"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66118278" w14:textId="77777777"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Mensink</w:t>
            </w:r>
            <w:proofErr w:type="spellEnd"/>
            <w:r w:rsidRPr="004C22EB">
              <w:rPr>
                <w:rFonts w:eastAsia="Times New Roman" w:cs="Arial"/>
                <w:color w:val="000000"/>
                <w:sz w:val="20"/>
                <w:szCs w:val="20"/>
                <w:lang w:eastAsia="en-GB"/>
              </w:rPr>
              <w:t xml:space="preserve"> and </w:t>
            </w:r>
            <w:proofErr w:type="spellStart"/>
            <w:r w:rsidRPr="004C22EB">
              <w:rPr>
                <w:rFonts w:eastAsia="Times New Roman" w:cs="Arial"/>
                <w:color w:val="000000"/>
                <w:sz w:val="20"/>
                <w:szCs w:val="20"/>
                <w:lang w:eastAsia="en-GB"/>
              </w:rPr>
              <w:t>Katan</w:t>
            </w:r>
            <w:proofErr w:type="spellEnd"/>
            <w:r w:rsidRPr="004C22EB">
              <w:rPr>
                <w:rFonts w:eastAsia="Times New Roman" w:cs="Arial"/>
                <w:color w:val="000000"/>
                <w:sz w:val="20"/>
                <w:szCs w:val="20"/>
                <w:lang w:eastAsia="en-GB"/>
              </w:rPr>
              <w:t>, 1990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C71E58" w14:textId="77777777" w:rsidR="00C87E84" w:rsidRPr="004C22EB" w:rsidRDefault="00C87E84" w:rsidP="009B1891">
            <w:pPr>
              <w:jc w:val="center"/>
              <w:rPr>
                <w:rFonts w:ascii="Calibri" w:hAnsi="Calibri"/>
                <w:color w:val="000000"/>
              </w:rPr>
            </w:pPr>
            <w:r w:rsidRPr="004C22EB">
              <w:rPr>
                <w:rFonts w:ascii="Calibri" w:hAnsi="Calibri"/>
                <w:color w:val="000000"/>
              </w:rPr>
              <w:t>4.75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9E3ED43"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5811EE4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42EE991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5674FBB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60EAC52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3602F83F"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7B71E36" w14:textId="10EC7BA3"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Zock</w:t>
            </w:r>
            <w:proofErr w:type="spellEnd"/>
            <w:r w:rsidRPr="004C22EB">
              <w:rPr>
                <w:rFonts w:eastAsia="Times New Roman" w:cs="Arial"/>
                <w:color w:val="000000"/>
                <w:sz w:val="20"/>
                <w:szCs w:val="20"/>
                <w:lang w:eastAsia="en-GB"/>
              </w:rPr>
              <w:t xml:space="preserve"> </w:t>
            </w:r>
            <w:r w:rsidR="00B1144D">
              <w:rPr>
                <w:rFonts w:eastAsia="Times New Roman" w:cs="Arial"/>
                <w:color w:val="000000"/>
                <w:sz w:val="20"/>
                <w:szCs w:val="20"/>
                <w:lang w:eastAsia="en-GB"/>
              </w:rPr>
              <w:t xml:space="preserve">and </w:t>
            </w:r>
            <w:proofErr w:type="spellStart"/>
            <w:r w:rsidR="00B1144D">
              <w:rPr>
                <w:rFonts w:eastAsia="Times New Roman" w:cs="Arial"/>
                <w:color w:val="000000"/>
                <w:sz w:val="20"/>
                <w:szCs w:val="20"/>
                <w:lang w:eastAsia="en-GB"/>
              </w:rPr>
              <w:t>Katan</w:t>
            </w:r>
            <w:r w:rsidRPr="004C22EB">
              <w:rPr>
                <w:rFonts w:eastAsia="Times New Roman" w:cs="Arial"/>
                <w:color w:val="000000"/>
                <w:sz w:val="20"/>
                <w:szCs w:val="20"/>
                <w:lang w:eastAsia="en-GB"/>
              </w:rPr>
              <w:t>l</w:t>
            </w:r>
            <w:proofErr w:type="spellEnd"/>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70EC300" w14:textId="77777777" w:rsidR="00C87E84" w:rsidRPr="004C22EB" w:rsidRDefault="00C87E84" w:rsidP="009B1891">
            <w:pPr>
              <w:jc w:val="center"/>
              <w:rPr>
                <w:rFonts w:ascii="Calibri" w:hAnsi="Calibri"/>
                <w:color w:val="000000"/>
              </w:rPr>
            </w:pPr>
            <w:r w:rsidRPr="004C22EB">
              <w:rPr>
                <w:rFonts w:ascii="Calibri" w:hAnsi="Calibri"/>
                <w:color w:val="000000"/>
              </w:rPr>
              <w:t>4.84</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C5BB87B"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25C12C9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7ED8518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4BBC9C7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1DCBFF0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C5A1CAB" w14:textId="77777777" w:rsidTr="004B560C">
        <w:trPr>
          <w:trHeight w:val="54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FA60C7" w14:textId="1FD12B9F"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Nestel</w:t>
            </w:r>
            <w:proofErr w:type="spellEnd"/>
            <w:r w:rsidRPr="004C22EB">
              <w:rPr>
                <w:rFonts w:eastAsia="Times New Roman" w:cs="Arial"/>
                <w:color w:val="000000"/>
                <w:sz w:val="20"/>
                <w:szCs w:val="20"/>
                <w:lang w:eastAsia="en-GB"/>
              </w:rPr>
              <w:t xml:space="preserve"> 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25F8E9A" w14:textId="77777777" w:rsidR="00C87E84" w:rsidRPr="004C22EB" w:rsidRDefault="00C87E84" w:rsidP="009B1891">
            <w:pPr>
              <w:jc w:val="center"/>
              <w:rPr>
                <w:rFonts w:ascii="Calibri" w:hAnsi="Calibri"/>
                <w:color w:val="000000"/>
              </w:rPr>
            </w:pPr>
            <w:r w:rsidRPr="004C22EB">
              <w:rPr>
                <w:rFonts w:ascii="Calibri" w:hAnsi="Calibri"/>
                <w:color w:val="000000"/>
              </w:rPr>
              <w:t>5.90</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EEA1C2"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0BC053F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6C61DEF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01B327A3"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5104486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68E44FBC" w14:textId="77777777" w:rsidTr="004B560C">
        <w:trPr>
          <w:trHeight w:val="54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0A8BAA" w14:textId="36833A65"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Lichtenstein 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9CAD6E" w14:textId="77777777" w:rsidR="00C87E84" w:rsidRPr="004C22EB" w:rsidRDefault="00C87E84" w:rsidP="009B1891">
            <w:pPr>
              <w:jc w:val="center"/>
              <w:rPr>
                <w:rFonts w:ascii="Calibri" w:hAnsi="Calibri"/>
                <w:color w:val="000000"/>
              </w:rPr>
            </w:pPr>
            <w:r w:rsidRPr="004C22EB">
              <w:rPr>
                <w:rFonts w:ascii="Calibri" w:hAnsi="Calibri"/>
                <w:color w:val="000000"/>
              </w:rPr>
              <w:t>6.16</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B64967"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6C2AB23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3D047C0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7016911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CCA532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53F950EE"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9D3E053" w14:textId="6364010B"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Judd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051A1BF" w14:textId="77777777" w:rsidR="00C87E84" w:rsidRPr="004C22EB" w:rsidRDefault="00C87E84" w:rsidP="009B1891">
            <w:pPr>
              <w:jc w:val="center"/>
              <w:rPr>
                <w:rFonts w:ascii="Calibri" w:hAnsi="Calibri"/>
                <w:color w:val="000000"/>
              </w:rPr>
            </w:pPr>
            <w:r w:rsidRPr="004C22EB">
              <w:rPr>
                <w:rFonts w:ascii="Calibri" w:hAnsi="Calibri"/>
                <w:color w:val="000000"/>
              </w:rPr>
              <w:t>5.30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06B7152D"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8B40B5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6E23874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6408BE7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3E801D8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6021DD2F"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EA29D98" w14:textId="0E88E05C"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Almendingen</w:t>
            </w:r>
            <w:proofErr w:type="spellEnd"/>
            <w:r w:rsidRPr="004C22EB">
              <w:rPr>
                <w:rFonts w:eastAsia="Times New Roman" w:cs="Arial"/>
                <w:color w:val="000000"/>
                <w:sz w:val="20"/>
                <w:szCs w:val="20"/>
                <w:lang w:eastAsia="en-GB"/>
              </w:rPr>
              <w:t xml:space="preserve">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F848F9B" w14:textId="77777777" w:rsidR="00C87E84" w:rsidRPr="004C22EB" w:rsidRDefault="00C87E84" w:rsidP="009B1891">
            <w:pPr>
              <w:jc w:val="center"/>
              <w:rPr>
                <w:rFonts w:ascii="Calibri" w:hAnsi="Calibri"/>
                <w:color w:val="000000"/>
              </w:rPr>
            </w:pPr>
            <w:r w:rsidRPr="004C22EB">
              <w:rPr>
                <w:rFonts w:ascii="Calibri" w:hAnsi="Calibri"/>
                <w:color w:val="000000"/>
              </w:rPr>
              <w:t>5.35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B8620C5"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63A4223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2AC2AE5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09A634B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484026E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9A778D9"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0E2F4FC9" w14:textId="3413E956"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Aro</w:t>
            </w:r>
            <w:proofErr w:type="spellEnd"/>
            <w:r w:rsidRPr="004C22EB">
              <w:rPr>
                <w:rFonts w:eastAsia="Times New Roman" w:cs="Arial"/>
                <w:color w:val="000000"/>
                <w:sz w:val="20"/>
                <w:szCs w:val="20"/>
                <w:lang w:eastAsia="en-GB"/>
              </w:rPr>
              <w:t xml:space="preserve">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148139" w14:textId="77777777" w:rsidR="00C87E84" w:rsidRPr="004C22EB" w:rsidRDefault="00C87E84" w:rsidP="009B1891">
            <w:pPr>
              <w:jc w:val="center"/>
              <w:rPr>
                <w:rFonts w:ascii="Calibri" w:hAnsi="Calibri"/>
                <w:color w:val="000000"/>
              </w:rPr>
            </w:pPr>
            <w:r w:rsidRPr="004C22EB">
              <w:rPr>
                <w:rFonts w:ascii="Calibri" w:hAnsi="Calibri"/>
                <w:color w:val="000000"/>
              </w:rPr>
              <w:t>4.75</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5AE522E"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1B938CD3"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068E338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185B705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06F1E9E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B421D26"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78D3D134" w14:textId="7AEB5FC1"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Sundram</w:t>
            </w:r>
            <w:proofErr w:type="spellEnd"/>
            <w:r w:rsidRPr="004C22EB">
              <w:rPr>
                <w:rFonts w:eastAsia="Times New Roman" w:cs="Arial"/>
                <w:color w:val="000000"/>
                <w:sz w:val="20"/>
                <w:szCs w:val="20"/>
                <w:lang w:eastAsia="en-GB"/>
              </w:rPr>
              <w:t xml:space="preserve"> 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10DB6D1" w14:textId="77777777" w:rsidR="00C87E84" w:rsidRPr="004C22EB" w:rsidRDefault="00C87E84" w:rsidP="009B1891">
            <w:pPr>
              <w:jc w:val="center"/>
              <w:rPr>
                <w:rFonts w:ascii="Calibri" w:hAnsi="Calibri"/>
                <w:color w:val="000000"/>
              </w:rPr>
            </w:pPr>
            <w:r w:rsidRPr="004C22EB">
              <w:rPr>
                <w:rFonts w:ascii="Calibri" w:hAnsi="Calibri"/>
                <w:color w:val="000000"/>
              </w:rPr>
              <w:t>5.02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362B64BD"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C4876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438AF44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44C9FF5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145490C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0E07738"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0264F6E7" w14:textId="32C57550"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Judd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660A2F4" w14:textId="77777777" w:rsidR="00C87E84" w:rsidRPr="004C22EB" w:rsidRDefault="00C87E84" w:rsidP="009B1891">
            <w:pPr>
              <w:jc w:val="center"/>
              <w:rPr>
                <w:rFonts w:ascii="Calibri" w:hAnsi="Calibri"/>
                <w:color w:val="000000"/>
              </w:rPr>
            </w:pPr>
            <w:r w:rsidRPr="004C22EB">
              <w:rPr>
                <w:rFonts w:ascii="Calibri" w:hAnsi="Calibri"/>
                <w:color w:val="000000"/>
              </w:rPr>
              <w:t>5.12</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4585CD5"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7CEE416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5B4FE72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2363C22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451CE74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4E520663"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3E4A4136" w14:textId="5C323DD3"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Muller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B4925B" w14:textId="77777777" w:rsidR="00C87E84" w:rsidRPr="004C22EB" w:rsidRDefault="00C87E84" w:rsidP="009B1891">
            <w:pPr>
              <w:jc w:val="center"/>
              <w:rPr>
                <w:rFonts w:ascii="Calibri" w:hAnsi="Calibri"/>
                <w:color w:val="000000"/>
              </w:rPr>
            </w:pPr>
            <w:r w:rsidRPr="004C22EB">
              <w:rPr>
                <w:rFonts w:ascii="Calibri" w:hAnsi="Calibri"/>
                <w:color w:val="000000"/>
              </w:rPr>
              <w:t>5.30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75F74EA"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415164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5" w:type="dxa"/>
            <w:tcBorders>
              <w:top w:val="nil"/>
              <w:left w:val="nil"/>
              <w:bottom w:val="single" w:sz="4" w:space="0" w:color="auto"/>
              <w:right w:val="single" w:sz="4" w:space="0" w:color="auto"/>
            </w:tcBorders>
            <w:shd w:val="clear" w:color="000000" w:fill="FFFFFF"/>
            <w:vAlign w:val="center"/>
            <w:hideMark/>
          </w:tcPr>
          <w:p w14:paraId="2803FFB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3C755D6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7D8E11E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6ECE0ED9" w14:textId="77777777" w:rsidTr="004B560C">
        <w:trPr>
          <w:trHeight w:val="54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CBEFCA" w14:textId="0E7AB799"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Lichtenstein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1999</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BADA79" w14:textId="77777777" w:rsidR="00C87E84" w:rsidRPr="004C22EB" w:rsidRDefault="00C87E84" w:rsidP="009B1891">
            <w:pPr>
              <w:jc w:val="center"/>
              <w:rPr>
                <w:rFonts w:ascii="Calibri" w:hAnsi="Calibri"/>
                <w:color w:val="000000"/>
              </w:rPr>
            </w:pPr>
            <w:r w:rsidRPr="004C22EB">
              <w:rPr>
                <w:rFonts w:ascii="Calibri" w:hAnsi="Calibri"/>
                <w:color w:val="000000"/>
              </w:rPr>
              <w:t>6.30</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5C0F60"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56C6B14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1F8C2E7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5FDE4E4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6E6D366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7062081"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721C8275" w14:textId="14E22A4C"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de </w:t>
            </w:r>
            <w:proofErr w:type="spellStart"/>
            <w:r w:rsidRPr="004C22EB">
              <w:rPr>
                <w:rFonts w:eastAsia="Times New Roman" w:cs="Arial"/>
                <w:color w:val="000000"/>
                <w:sz w:val="20"/>
                <w:szCs w:val="20"/>
                <w:lang w:eastAsia="en-GB"/>
              </w:rPr>
              <w:t>Roos</w:t>
            </w:r>
            <w:proofErr w:type="spellEnd"/>
            <w:r w:rsidRPr="004C22EB">
              <w:rPr>
                <w:rFonts w:eastAsia="Times New Roman" w:cs="Arial"/>
                <w:color w:val="000000"/>
                <w:sz w:val="20"/>
                <w:szCs w:val="20"/>
                <w:lang w:eastAsia="en-GB"/>
              </w:rPr>
              <w:t xml:space="preserve">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C5A46F" w14:textId="77777777" w:rsidR="00C87E84" w:rsidRPr="004C22EB" w:rsidRDefault="00C87E84" w:rsidP="009B1891">
            <w:pPr>
              <w:jc w:val="center"/>
              <w:rPr>
                <w:rFonts w:ascii="Calibri" w:hAnsi="Calibri"/>
                <w:color w:val="000000"/>
              </w:rPr>
            </w:pPr>
            <w:r w:rsidRPr="004C22EB">
              <w:rPr>
                <w:rFonts w:ascii="Calibri" w:hAnsi="Calibri"/>
                <w:color w:val="000000"/>
              </w:rPr>
              <w:t>5.00</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B421FC0"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2C8D20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7D2E491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73B7869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62B363B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FD73B84"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6119BC58" w14:textId="437D648D"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Judd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35B60C0" w14:textId="77777777" w:rsidR="00C87E84" w:rsidRPr="004C22EB" w:rsidRDefault="00C87E84" w:rsidP="009B1891">
            <w:pPr>
              <w:jc w:val="center"/>
              <w:rPr>
                <w:rFonts w:ascii="Calibri" w:hAnsi="Calibri"/>
                <w:color w:val="000000"/>
              </w:rPr>
            </w:pPr>
            <w:r w:rsidRPr="004C22EB">
              <w:rPr>
                <w:rFonts w:ascii="Calibri" w:hAnsi="Calibri"/>
                <w:color w:val="000000"/>
              </w:rPr>
              <w:t>4.77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539B64FD"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B7E237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01225E4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1E86799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27F291F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523D1962"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1F12F34F" w14:textId="3C873EE1"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French 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0CF04F" w14:textId="77777777" w:rsidR="00C87E84" w:rsidRPr="004C22EB" w:rsidRDefault="00C87E84" w:rsidP="009B1891">
            <w:pPr>
              <w:jc w:val="center"/>
              <w:rPr>
                <w:rFonts w:ascii="Calibri" w:hAnsi="Calibri"/>
                <w:color w:val="000000"/>
              </w:rPr>
            </w:pPr>
            <w:r w:rsidRPr="004C22EB">
              <w:rPr>
                <w:rFonts w:ascii="Calibri" w:hAnsi="Calibri"/>
                <w:color w:val="000000"/>
              </w:rPr>
              <w:t>5.37</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C6BD749"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02EDFC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014BA5C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4E232D3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3689743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B77AB6B" w14:textId="77777777" w:rsidTr="004B560C">
        <w:trPr>
          <w:trHeight w:val="54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D039A8C" w14:textId="2B84066C"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Han 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4CAD72" w14:textId="77777777" w:rsidR="00C87E84" w:rsidRPr="004C22EB" w:rsidRDefault="00C87E84" w:rsidP="009B1891">
            <w:pPr>
              <w:jc w:val="center"/>
              <w:rPr>
                <w:rFonts w:ascii="Calibri" w:hAnsi="Calibri"/>
                <w:color w:val="000000"/>
              </w:rPr>
            </w:pPr>
            <w:r w:rsidRPr="004C22EB">
              <w:rPr>
                <w:rFonts w:ascii="Calibri" w:hAnsi="Calibri"/>
                <w:color w:val="000000"/>
              </w:rPr>
              <w:t>6.55</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A6DE48"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22AA514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7AFC60C3"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3F19087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3E67496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3C9FC3F1"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58F7E7C9" w14:textId="02F7180F"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 xml:space="preserve">Lovejoy </w:t>
            </w:r>
            <w:r w:rsidRPr="004C22EB">
              <w:rPr>
                <w:rFonts w:eastAsia="Times New Roman" w:cs="Arial"/>
                <w:iCs/>
                <w:color w:val="000000"/>
                <w:sz w:val="20"/>
                <w:szCs w:val="20"/>
                <w:lang w:eastAsia="en-GB"/>
              </w:rPr>
              <w:t>et al</w:t>
            </w:r>
            <w:r w:rsidR="00ED33E7">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983E189" w14:textId="0DB5E1AD" w:rsidR="00C87E84" w:rsidRPr="004C22EB" w:rsidRDefault="00C87E84" w:rsidP="00CD110C">
            <w:pPr>
              <w:jc w:val="center"/>
              <w:rPr>
                <w:rFonts w:ascii="Calibri" w:hAnsi="Calibri"/>
                <w:color w:val="000000"/>
              </w:rPr>
            </w:pPr>
            <w:r w:rsidRPr="004C22EB">
              <w:rPr>
                <w:rFonts w:ascii="Calibri" w:hAnsi="Calibri"/>
                <w:color w:val="000000"/>
              </w:rPr>
              <w:t>&lt;4.0</w:t>
            </w:r>
            <w:r w:rsidR="00CD110C" w:rsidRPr="00741965">
              <w:rPr>
                <w:rFonts w:cs="Arial"/>
                <w:color w:val="000000"/>
                <w:vertAlign w:val="superscript"/>
              </w:rPr>
              <w:t>b,d</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1370249B"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0390DF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37DAD89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61B4C4D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6EF15D93"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084CDD0"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582CD1FC" w14:textId="5C629B1D"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Dyerberg</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A809DCB" w14:textId="77777777" w:rsidR="00C87E84" w:rsidRPr="004C22EB" w:rsidRDefault="00C87E84" w:rsidP="009B1891">
            <w:pPr>
              <w:jc w:val="center"/>
              <w:rPr>
                <w:rFonts w:ascii="Calibri" w:hAnsi="Calibri"/>
                <w:color w:val="000000"/>
              </w:rPr>
            </w:pPr>
            <w:r w:rsidRPr="004C22EB">
              <w:rPr>
                <w:rFonts w:ascii="Calibri" w:hAnsi="Calibri"/>
                <w:color w:val="000000"/>
              </w:rPr>
              <w:t>5.06</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43324824"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B066D4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409B6C0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258D032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2DBF574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51DEDC1"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21D857D1" w14:textId="4DE5930F"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Desroches</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ADA9B2" w14:textId="77777777" w:rsidR="00C87E84" w:rsidRPr="004C22EB" w:rsidRDefault="00C87E84" w:rsidP="009B1891">
            <w:pPr>
              <w:jc w:val="center"/>
              <w:rPr>
                <w:rFonts w:ascii="Calibri" w:hAnsi="Calibri"/>
                <w:color w:val="000000"/>
              </w:rPr>
            </w:pPr>
            <w:r w:rsidRPr="004C22EB">
              <w:rPr>
                <w:rFonts w:ascii="Calibri" w:hAnsi="Calibri"/>
                <w:color w:val="000000"/>
              </w:rPr>
              <w:t>4.90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53D10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r</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287D33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2FBDAEC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1AE6058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056F97C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0B3F117" w14:textId="77777777" w:rsidTr="004B560C">
        <w:trPr>
          <w:trHeight w:val="54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836DDC2" w14:textId="7B478A07"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Lichtenstein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2006</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BE60A62" w14:textId="77777777" w:rsidR="00C87E84" w:rsidRPr="004C22EB" w:rsidRDefault="00C87E84" w:rsidP="009B1891">
            <w:pPr>
              <w:jc w:val="center"/>
              <w:rPr>
                <w:rFonts w:ascii="Calibri" w:hAnsi="Calibri"/>
                <w:color w:val="000000"/>
              </w:rPr>
            </w:pPr>
            <w:r w:rsidRPr="004C22EB">
              <w:rPr>
                <w:rFonts w:ascii="Calibri" w:hAnsi="Calibri"/>
                <w:color w:val="000000"/>
              </w:rPr>
              <w:t>5.75</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292035"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5BC5331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vAlign w:val="center"/>
            <w:hideMark/>
          </w:tcPr>
          <w:p w14:paraId="37470A0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3B57756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vAlign w:val="center"/>
            <w:hideMark/>
          </w:tcPr>
          <w:p w14:paraId="253F83E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4EC694C5" w14:textId="77777777" w:rsidTr="004B560C">
        <w:trPr>
          <w:trHeight w:val="540"/>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4AD5C" w14:textId="447083A6"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lastRenderedPageBreak/>
              <w:t>Vega-Lopez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2006</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9EB907F" w14:textId="77777777" w:rsidR="00C87E84" w:rsidRPr="004C22EB" w:rsidRDefault="00C87E84" w:rsidP="009B1891">
            <w:pPr>
              <w:jc w:val="center"/>
              <w:rPr>
                <w:rFonts w:ascii="Calibri" w:hAnsi="Calibri"/>
                <w:color w:val="000000"/>
              </w:rPr>
            </w:pPr>
            <w:r w:rsidRPr="004C22EB">
              <w:rPr>
                <w:rFonts w:ascii="Calibri" w:hAnsi="Calibri"/>
                <w:color w:val="000000"/>
              </w:rPr>
              <w:t>6.55</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30517"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B742F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9097B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19BBE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4A2DA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62B64537"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33462461" w14:textId="2B773FFD"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Tricon</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EE7CC6" w14:textId="77777777" w:rsidR="00C87E84" w:rsidRPr="004C22EB" w:rsidRDefault="00C87E84" w:rsidP="009B1891">
            <w:pPr>
              <w:jc w:val="center"/>
              <w:rPr>
                <w:rFonts w:ascii="Calibri" w:hAnsi="Calibri"/>
                <w:color w:val="000000"/>
              </w:rPr>
            </w:pPr>
            <w:r w:rsidRPr="004C22EB">
              <w:rPr>
                <w:rFonts w:ascii="Calibri" w:hAnsi="Calibri"/>
                <w:color w:val="000000"/>
              </w:rPr>
              <w:t>5.40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35821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r</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BCD3F4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6C00FE7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D2F61F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1DCD294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3F02F8F1"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058A2B72" w14:textId="18DE87BB"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Tholstrup</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B16D70" w14:textId="77777777" w:rsidR="00C87E84" w:rsidRPr="004C22EB" w:rsidRDefault="00C87E84" w:rsidP="009B1891">
            <w:pPr>
              <w:jc w:val="center"/>
              <w:rPr>
                <w:rFonts w:ascii="Calibri" w:hAnsi="Calibri"/>
                <w:color w:val="000000"/>
              </w:rPr>
            </w:pPr>
            <w:r w:rsidRPr="004C22EB">
              <w:rPr>
                <w:rFonts w:ascii="Calibri" w:hAnsi="Calibri"/>
                <w:color w:val="000000"/>
              </w:rPr>
              <w:t>4.05</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1C01DE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r</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2490EC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57C9920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6AF51D2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586BEA2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97EEA2B"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vAlign w:val="center"/>
            <w:hideMark/>
          </w:tcPr>
          <w:p w14:paraId="70150B6A" w14:textId="2C09DAF7"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Sundram</w:t>
            </w:r>
            <w:proofErr w:type="spellEnd"/>
            <w:r w:rsidRPr="004C22EB">
              <w:rPr>
                <w:rFonts w:eastAsia="Times New Roman" w:cs="Arial"/>
                <w:color w:val="000000"/>
                <w:sz w:val="20"/>
                <w:szCs w:val="20"/>
                <w:lang w:eastAsia="en-GB"/>
              </w:rPr>
              <w:t xml:space="preserve"> </w:t>
            </w:r>
            <w:r w:rsidRPr="004C22EB">
              <w:rPr>
                <w:rFonts w:eastAsia="Times New Roman" w:cs="Arial"/>
                <w:iCs/>
                <w:color w:val="000000"/>
                <w:sz w:val="20"/>
                <w:szCs w:val="20"/>
                <w:lang w:eastAsia="en-GB"/>
              </w:rPr>
              <w:t>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263E7DA" w14:textId="77777777" w:rsidR="00C87E84" w:rsidRPr="004C22EB" w:rsidRDefault="00C87E84" w:rsidP="009B1891">
            <w:pPr>
              <w:jc w:val="center"/>
              <w:rPr>
                <w:rFonts w:ascii="Calibri" w:hAnsi="Calibri"/>
              </w:rPr>
            </w:pPr>
            <w:r w:rsidRPr="004C22EB">
              <w:rPr>
                <w:rFonts w:ascii="Calibri" w:hAnsi="Calibri"/>
              </w:rPr>
              <w:t>5.03</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14:paraId="7DC28A41"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B3EEDC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vAlign w:val="center"/>
            <w:hideMark/>
          </w:tcPr>
          <w:p w14:paraId="2833CE9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276" w:type="dxa"/>
            <w:tcBorders>
              <w:top w:val="nil"/>
              <w:left w:val="nil"/>
              <w:bottom w:val="single" w:sz="4" w:space="0" w:color="auto"/>
              <w:right w:val="single" w:sz="4" w:space="0" w:color="auto"/>
            </w:tcBorders>
            <w:shd w:val="clear" w:color="000000" w:fill="FFFFFF"/>
            <w:vAlign w:val="center"/>
            <w:hideMark/>
          </w:tcPr>
          <w:p w14:paraId="668A648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vAlign w:val="center"/>
            <w:hideMark/>
          </w:tcPr>
          <w:p w14:paraId="663E924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3912974"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64EA1975" w14:textId="1121FAE4"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Chardigny</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3DF934C" w14:textId="77777777" w:rsidR="00C87E84" w:rsidRPr="004C22EB" w:rsidRDefault="00C87E84" w:rsidP="009B1891">
            <w:pPr>
              <w:jc w:val="center"/>
              <w:rPr>
                <w:rFonts w:ascii="Calibri" w:hAnsi="Calibri"/>
                <w:color w:val="000000"/>
              </w:rPr>
            </w:pPr>
            <w:r w:rsidRPr="004C22EB">
              <w:rPr>
                <w:rFonts w:ascii="Calibri" w:hAnsi="Calibri"/>
                <w:color w:val="000000"/>
              </w:rPr>
              <w:t>4.74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226C67"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i,r</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AA5822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4A802BF3"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3222F22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01B18D9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378E1DAA"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42F013F2" w14:textId="5FA2C967"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Motard</w:t>
            </w:r>
            <w:proofErr w:type="spellEnd"/>
            <w:r w:rsidRPr="004C22EB">
              <w:rPr>
                <w:rFonts w:eastAsia="Times New Roman" w:cs="Arial"/>
                <w:color w:val="000000"/>
                <w:sz w:val="20"/>
                <w:szCs w:val="20"/>
                <w:lang w:eastAsia="en-GB"/>
              </w:rPr>
              <w:t>-Belanger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2008</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F39FC5D" w14:textId="77777777" w:rsidR="00C87E84" w:rsidRPr="004C22EB" w:rsidRDefault="00C87E84" w:rsidP="009B1891">
            <w:pPr>
              <w:jc w:val="center"/>
              <w:rPr>
                <w:rFonts w:ascii="Calibri" w:hAnsi="Calibri"/>
                <w:color w:val="000000"/>
              </w:rPr>
            </w:pPr>
            <w:r w:rsidRPr="004C22EB">
              <w:rPr>
                <w:rFonts w:ascii="Calibri" w:hAnsi="Calibri"/>
                <w:color w:val="000000"/>
              </w:rPr>
              <w:t>4.32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E934045"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i,r</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21571A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7BB604A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10DD9DF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2100D23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E3EE0BA" w14:textId="77777777" w:rsidTr="004B560C">
        <w:trPr>
          <w:trHeight w:val="540"/>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14:paraId="6214E2BD" w14:textId="031566B0" w:rsidR="00C87E84" w:rsidRPr="004C22EB" w:rsidRDefault="00C87E84" w:rsidP="009B1891">
            <w:pPr>
              <w:rPr>
                <w:rFonts w:eastAsia="Times New Roman" w:cs="Arial"/>
                <w:color w:val="000000"/>
                <w:sz w:val="20"/>
                <w:szCs w:val="20"/>
                <w:lang w:eastAsia="en-GB"/>
              </w:rPr>
            </w:pPr>
            <w:r w:rsidRPr="004C22EB">
              <w:rPr>
                <w:rFonts w:eastAsia="Times New Roman" w:cs="Arial"/>
                <w:color w:val="000000"/>
                <w:sz w:val="20"/>
                <w:szCs w:val="20"/>
                <w:lang w:eastAsia="en-GB"/>
              </w:rPr>
              <w:t>Wanders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64B60A6" w14:textId="77777777" w:rsidR="00C87E84" w:rsidRPr="004C22EB" w:rsidRDefault="00C87E84" w:rsidP="009B1891">
            <w:pPr>
              <w:jc w:val="center"/>
              <w:rPr>
                <w:rFonts w:ascii="Calibri" w:hAnsi="Calibri"/>
                <w:color w:val="000000"/>
              </w:rPr>
            </w:pPr>
            <w:r w:rsidRPr="004C22EB">
              <w:rPr>
                <w:rFonts w:ascii="Calibri" w:hAnsi="Calibri"/>
                <w:color w:val="000000"/>
              </w:rPr>
              <w:t>4.54</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C7A10A"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979C33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6F42F2D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66BF8F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000000" w:fill="FFFFFF"/>
            <w:noWrap/>
            <w:vAlign w:val="center"/>
            <w:hideMark/>
          </w:tcPr>
          <w:p w14:paraId="273B6FD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46115AA2"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D4013F1" w14:textId="6711217C"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Teng</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49CC41" w14:textId="77777777" w:rsidR="00C87E84" w:rsidRPr="004C22EB" w:rsidRDefault="00C87E84" w:rsidP="009B1891">
            <w:pPr>
              <w:jc w:val="center"/>
              <w:rPr>
                <w:rFonts w:ascii="Calibri" w:hAnsi="Calibri"/>
                <w:color w:val="000000"/>
              </w:rPr>
            </w:pPr>
            <w:r w:rsidRPr="004C22EB">
              <w:rPr>
                <w:rFonts w:ascii="Calibri" w:hAnsi="Calibri"/>
                <w:color w:val="000000"/>
              </w:rPr>
              <w:t>4.6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2DD34C"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90FE3D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41A4E27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D91830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25D083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CEA1140"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CED039" w14:textId="173E910E"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Gaglia</w:t>
            </w:r>
            <w:r w:rsidR="00DB6F85">
              <w:rPr>
                <w:rFonts w:eastAsia="Times New Roman" w:cs="Arial"/>
                <w:bCs/>
                <w:color w:val="000000"/>
                <w:sz w:val="20"/>
                <w:szCs w:val="20"/>
                <w:lang w:eastAsia="en-GB"/>
              </w:rPr>
              <w:t>rd</w:t>
            </w:r>
            <w:r w:rsidRPr="004C22EB">
              <w:rPr>
                <w:rFonts w:eastAsia="Times New Roman" w:cs="Arial"/>
                <w:bCs/>
                <w:color w:val="000000"/>
                <w:sz w:val="20"/>
                <w:szCs w:val="20"/>
                <w:lang w:eastAsia="en-GB"/>
              </w:rPr>
              <w:t>i</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316DD3E" w14:textId="053C6C4E" w:rsidR="00C87E84" w:rsidRPr="004C22EB" w:rsidRDefault="00C87E84" w:rsidP="009B1891">
            <w:pPr>
              <w:spacing w:line="480" w:lineRule="auto"/>
              <w:jc w:val="center"/>
              <w:rPr>
                <w:rFonts w:ascii="Calibri" w:hAnsi="Calibri"/>
                <w:color w:val="000000"/>
              </w:rPr>
            </w:pPr>
            <w:r w:rsidRPr="004C22EB">
              <w:rPr>
                <w:rFonts w:ascii="Calibri" w:hAnsi="Calibri"/>
                <w:color w:val="000000"/>
              </w:rPr>
              <w:t>5.3</w:t>
            </w:r>
            <w:r w:rsidR="00CD110C" w:rsidRPr="00741965">
              <w:rPr>
                <w:rFonts w:cs="Arial"/>
                <w:color w:val="000000"/>
                <w:vertAlign w:val="superscript"/>
              </w:rPr>
              <w:t>d</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3278C0"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xml:space="preserve">r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E4F46D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225ED32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2AD70F2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76C32EB"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23DEE29A"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AA4A0B7" w14:textId="564F8BFE"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Takeuch</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8B64581" w14:textId="77777777" w:rsidR="00C87E84" w:rsidRPr="004C22EB" w:rsidRDefault="00C87E84" w:rsidP="009B1891">
            <w:pPr>
              <w:jc w:val="center"/>
              <w:rPr>
                <w:rFonts w:ascii="Calibri" w:hAnsi="Calibri"/>
                <w:color w:val="000000"/>
              </w:rPr>
            </w:pPr>
            <w:r w:rsidRPr="004C22EB">
              <w:rPr>
                <w:rFonts w:ascii="Calibri" w:hAnsi="Calibri"/>
                <w:color w:val="000000"/>
              </w:rPr>
              <w:t>3.96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395221B"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B4A412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AB2126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C785A0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0226DE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65610AF8"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A803D0" w14:textId="44BA7B2C"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Bendsen</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A7228C" w14:textId="77777777" w:rsidR="00C87E84" w:rsidRPr="004C22EB" w:rsidRDefault="00C87E84" w:rsidP="009B1891">
            <w:pPr>
              <w:jc w:val="center"/>
              <w:rPr>
                <w:rFonts w:ascii="Calibri" w:hAnsi="Calibri"/>
                <w:color w:val="000000"/>
              </w:rPr>
            </w:pPr>
            <w:r w:rsidRPr="004C22EB">
              <w:rPr>
                <w:rFonts w:ascii="Calibri" w:hAnsi="Calibri"/>
                <w:color w:val="000000"/>
              </w:rPr>
              <w:t>5.54</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6E5227C"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5F68CFC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52F7F23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0D14EC0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6B052A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50994FFB"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6EEAEA0" w14:textId="4114100A"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Labonte</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DAE047F" w14:textId="77777777" w:rsidR="00C87E84" w:rsidRPr="004C22EB" w:rsidRDefault="00C87E84" w:rsidP="009B1891">
            <w:pPr>
              <w:jc w:val="center"/>
              <w:rPr>
                <w:rFonts w:ascii="Calibri" w:hAnsi="Calibri"/>
                <w:color w:val="000000"/>
              </w:rPr>
            </w:pPr>
            <w:r w:rsidRPr="004C22EB">
              <w:rPr>
                <w:rFonts w:ascii="Calibri" w:hAnsi="Calibri"/>
                <w:color w:val="000000"/>
              </w:rPr>
              <w:t>4.32</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EF43D8"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i,r</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10A88C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3C2E869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FEF687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E885E5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4C29BFD"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49E3890" w14:textId="39B82D4B" w:rsidR="00C87E84" w:rsidRPr="004C22EB" w:rsidRDefault="00C87E84" w:rsidP="009B1891">
            <w:pPr>
              <w:rPr>
                <w:rFonts w:eastAsia="Times New Roman" w:cs="Arial"/>
                <w:bCs/>
                <w:color w:val="000000"/>
                <w:sz w:val="20"/>
                <w:szCs w:val="20"/>
                <w:lang w:eastAsia="en-GB"/>
              </w:rPr>
            </w:pPr>
            <w:r w:rsidRPr="004C22EB">
              <w:rPr>
                <w:rFonts w:eastAsia="Times New Roman" w:cs="Arial"/>
                <w:bCs/>
                <w:color w:val="000000"/>
                <w:sz w:val="20"/>
                <w:szCs w:val="20"/>
                <w:lang w:eastAsia="en-GB"/>
              </w:rPr>
              <w:t>Lacroix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4ECA0C3" w14:textId="77777777" w:rsidR="00C87E84" w:rsidRPr="004C22EB" w:rsidRDefault="00C87E84" w:rsidP="009B1891">
            <w:pPr>
              <w:jc w:val="center"/>
              <w:rPr>
                <w:rFonts w:ascii="Calibri" w:hAnsi="Calibri"/>
                <w:color w:val="000000"/>
              </w:rPr>
            </w:pPr>
            <w:r w:rsidRPr="004C22EB">
              <w:rPr>
                <w:rFonts w:ascii="Calibri" w:hAnsi="Calibri"/>
                <w:color w:val="000000"/>
              </w:rPr>
              <w:t>5.11</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E0385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xml:space="preserve">r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8DF850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2003D2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E37F86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441A0C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49FC8EF"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8E6DF46" w14:textId="69AE7208" w:rsidR="00C87E84" w:rsidRPr="004C22EB" w:rsidRDefault="00C87E84" w:rsidP="009B1891">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Pintus</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2013</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C105A46" w14:textId="77777777" w:rsidR="00C87E84" w:rsidRPr="004C22EB" w:rsidRDefault="00C87E84" w:rsidP="009B1891">
            <w:pPr>
              <w:jc w:val="center"/>
              <w:rPr>
                <w:rFonts w:ascii="Calibri" w:hAnsi="Calibri"/>
                <w:color w:val="000000"/>
              </w:rPr>
            </w:pPr>
            <w:r w:rsidRPr="004C22EB">
              <w:rPr>
                <w:rFonts w:ascii="Calibri" w:hAnsi="Calibri"/>
                <w:color w:val="000000"/>
              </w:rPr>
              <w:t>6.26</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A63DABC"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xml:space="preserve">r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13CB5E0D"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7BE3E6F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11FC40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6AB032F5"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1A3AB6F5" w14:textId="77777777" w:rsidTr="004B560C">
        <w:trPr>
          <w:trHeight w:val="5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0EC29D5" w14:textId="64598A4D" w:rsidR="00C87E84" w:rsidRPr="004C22EB" w:rsidRDefault="00C87E84" w:rsidP="009B1891">
            <w:pPr>
              <w:rPr>
                <w:rFonts w:eastAsia="Times New Roman" w:cs="Arial"/>
                <w:bCs/>
                <w:color w:val="000000"/>
                <w:sz w:val="20"/>
                <w:szCs w:val="20"/>
                <w:lang w:eastAsia="en-GB"/>
              </w:rPr>
            </w:pPr>
            <w:r w:rsidRPr="004C22EB">
              <w:rPr>
                <w:rFonts w:eastAsia="Times New Roman" w:cs="Arial"/>
                <w:bCs/>
                <w:color w:val="000000"/>
                <w:sz w:val="20"/>
                <w:szCs w:val="20"/>
                <w:lang w:eastAsia="en-GB"/>
              </w:rPr>
              <w:t>Takeuchi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2013</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F0D7BE9" w14:textId="77777777" w:rsidR="00C87E84" w:rsidRPr="004C22EB" w:rsidRDefault="00C87E84" w:rsidP="009B1891">
            <w:pPr>
              <w:jc w:val="center"/>
              <w:rPr>
                <w:rFonts w:ascii="Calibri" w:hAnsi="Calibri"/>
                <w:color w:val="000000"/>
              </w:rPr>
            </w:pPr>
            <w:r w:rsidRPr="004C22EB">
              <w:rPr>
                <w:rFonts w:ascii="Calibri" w:hAnsi="Calibri"/>
                <w:color w:val="000000"/>
              </w:rPr>
              <w:t>4.66</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5787F1" w14:textId="77777777" w:rsidR="00C87E84" w:rsidRPr="004C22EB" w:rsidRDefault="00C87E84" w:rsidP="009B1891">
            <w:pPr>
              <w:jc w:val="cente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i</w:t>
            </w:r>
            <w:proofErr w:type="spellEnd"/>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006F5F4"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76165D7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30C978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51E65F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5F837346" w14:textId="77777777" w:rsidTr="004B560C">
        <w:trPr>
          <w:trHeight w:val="4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989A301" w14:textId="428ABCB0" w:rsidR="00C87E84" w:rsidRPr="004C22EB" w:rsidRDefault="00C87E84" w:rsidP="000026F8">
            <w:pPr>
              <w:rPr>
                <w:rFonts w:eastAsia="Times New Roman" w:cs="Arial"/>
                <w:bCs/>
                <w:color w:val="000000"/>
                <w:sz w:val="20"/>
                <w:szCs w:val="20"/>
                <w:lang w:eastAsia="en-GB"/>
              </w:rPr>
            </w:pPr>
            <w:proofErr w:type="spellStart"/>
            <w:r w:rsidRPr="004C22EB">
              <w:rPr>
                <w:rFonts w:eastAsia="Times New Roman" w:cs="Arial"/>
                <w:bCs/>
                <w:color w:val="000000"/>
                <w:sz w:val="20"/>
                <w:szCs w:val="20"/>
                <w:lang w:eastAsia="en-GB"/>
              </w:rPr>
              <w:t>Venkatramanan</w:t>
            </w:r>
            <w:proofErr w:type="spellEnd"/>
            <w:r w:rsidRPr="004C22EB">
              <w:rPr>
                <w:rFonts w:eastAsia="Times New Roman" w:cs="Arial"/>
                <w:bCs/>
                <w:color w:val="000000"/>
                <w:sz w:val="20"/>
                <w:szCs w:val="20"/>
                <w:lang w:eastAsia="en-GB"/>
              </w:rPr>
              <w:t xml:space="preserve"> et al</w:t>
            </w:r>
            <w:r w:rsidR="000026F8">
              <w:rPr>
                <w:rFonts w:eastAsia="Times New Roman" w:cs="Arial"/>
                <w:bCs/>
                <w:color w:val="000000"/>
                <w:sz w:val="20"/>
                <w:szCs w:val="20"/>
                <w:lang w:eastAsia="en-GB"/>
              </w:rPr>
              <w:t>.</w:t>
            </w:r>
            <w:r w:rsidR="000026F8" w:rsidRPr="004C22EB">
              <w:rPr>
                <w:rFonts w:eastAsia="Times New Roman" w:cs="Arial"/>
                <w:bCs/>
                <w:color w:val="000000"/>
                <w:sz w:val="20"/>
                <w:szCs w:val="20"/>
                <w:lang w:eastAsia="en-GB"/>
              </w:rPr>
              <w:t xml:space="preserve"> </w:t>
            </w:r>
            <w:r w:rsidR="00DB6F85">
              <w:rPr>
                <w:rFonts w:eastAsia="Times New Roman" w:cs="Arial"/>
                <w:bCs/>
                <w:color w:val="000000"/>
                <w:sz w:val="20"/>
                <w:szCs w:val="20"/>
                <w:lang w:eastAsia="en-GB"/>
              </w:rPr>
              <w:t>2010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3F3A94" w14:textId="77777777" w:rsidR="00C87E84" w:rsidRPr="004C22EB" w:rsidRDefault="00C87E84" w:rsidP="009B1891">
            <w:pPr>
              <w:jc w:val="center"/>
              <w:rPr>
                <w:rFonts w:ascii="Calibri" w:hAnsi="Calibri"/>
                <w:color w:val="000000"/>
              </w:rPr>
            </w:pPr>
            <w:r w:rsidRPr="004C22EB">
              <w:rPr>
                <w:rFonts w:ascii="Calibri" w:hAnsi="Calibri"/>
                <w:color w:val="000000"/>
              </w:rPr>
              <w:t>5.00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B6F1B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xml:space="preserve">r </w:t>
            </w:r>
          </w:p>
        </w:tc>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964E5C8"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FFFF"/>
            <w:noWrap/>
            <w:vAlign w:val="center"/>
            <w:hideMark/>
          </w:tcPr>
          <w:p w14:paraId="0ED008BE"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DEC27C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7BE02E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00798DEB" w14:textId="77777777" w:rsidTr="004B560C">
        <w:trPr>
          <w:trHeight w:val="537"/>
        </w:trPr>
        <w:tc>
          <w:tcPr>
            <w:tcW w:w="242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0EA2636" w14:textId="6E08C14D" w:rsidR="00C87E84" w:rsidRPr="004C22EB" w:rsidRDefault="00C87E84" w:rsidP="009B1891">
            <w:pPr>
              <w:rPr>
                <w:rFonts w:eastAsia="Times New Roman" w:cs="Arial"/>
                <w:color w:val="000000"/>
                <w:sz w:val="20"/>
                <w:szCs w:val="20"/>
                <w:lang w:eastAsia="en-GB"/>
              </w:rPr>
            </w:pPr>
            <w:proofErr w:type="spellStart"/>
            <w:r w:rsidRPr="004C22EB">
              <w:rPr>
                <w:rFonts w:eastAsia="Times New Roman" w:cs="Arial"/>
                <w:color w:val="000000"/>
                <w:sz w:val="20"/>
                <w:szCs w:val="20"/>
                <w:lang w:eastAsia="en-GB"/>
              </w:rPr>
              <w:t>Naumann</w:t>
            </w:r>
            <w:proofErr w:type="spellEnd"/>
            <w:r w:rsidRPr="004C22EB">
              <w:rPr>
                <w:rFonts w:eastAsia="Times New Roman" w:cs="Arial"/>
                <w:color w:val="000000"/>
                <w:sz w:val="20"/>
                <w:szCs w:val="20"/>
                <w:lang w:eastAsia="en-GB"/>
              </w:rPr>
              <w:t xml:space="preserve"> et al</w:t>
            </w:r>
            <w:r w:rsidR="000026F8">
              <w:rPr>
                <w:rFonts w:eastAsia="Times New Roman" w:cs="Arial"/>
                <w:color w:val="000000"/>
                <w:sz w:val="20"/>
                <w:szCs w:val="20"/>
                <w:lang w:eastAsia="en-GB"/>
              </w:rPr>
              <w:t>.</w:t>
            </w:r>
            <w:r w:rsidRPr="004C22EB">
              <w:rPr>
                <w:rFonts w:eastAsia="Times New Roman" w:cs="Arial"/>
                <w:color w:val="000000"/>
                <w:sz w:val="20"/>
                <w:szCs w:val="20"/>
                <w:lang w:eastAsia="en-GB"/>
              </w:rPr>
              <w:t xml:space="preserve"> 2006</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C8C108" w14:textId="77777777" w:rsidR="00C87E84" w:rsidRPr="004C22EB" w:rsidRDefault="00C87E84" w:rsidP="009B1891">
            <w:pPr>
              <w:jc w:val="center"/>
              <w:rPr>
                <w:rFonts w:ascii="Calibri" w:hAnsi="Calibri"/>
                <w:color w:val="000000"/>
              </w:rPr>
            </w:pPr>
            <w:r w:rsidRPr="004C22EB">
              <w:rPr>
                <w:rFonts w:ascii="Calibri" w:hAnsi="Calibri"/>
                <w:color w:val="000000"/>
              </w:rPr>
              <w:t>6.08</w:t>
            </w:r>
          </w:p>
        </w:tc>
        <w:tc>
          <w:tcPr>
            <w:tcW w:w="85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DA21A7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o</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5EDDF071"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035DF526"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w:t>
            </w: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46925AF7"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77B89D5A"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r w:rsidR="00C87E84" w:rsidRPr="004C22EB" w14:paraId="34796CF9" w14:textId="77777777" w:rsidTr="004B560C">
        <w:trPr>
          <w:trHeight w:val="526"/>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462C8A" w14:textId="60EC8A40" w:rsidR="00C87E84" w:rsidRPr="004C22EB" w:rsidRDefault="00C87E84" w:rsidP="009B1891">
            <w:pPr>
              <w:rPr>
                <w:rFonts w:eastAsia="Times New Roman" w:cs="Arial"/>
                <w:bCs/>
                <w:color w:val="000000"/>
                <w:sz w:val="20"/>
                <w:szCs w:val="20"/>
                <w:lang w:eastAsia="en-GB"/>
              </w:rPr>
            </w:pPr>
            <w:r w:rsidRPr="004C22EB">
              <w:rPr>
                <w:rFonts w:eastAsia="Times New Roman" w:cs="Arial"/>
                <w:bCs/>
                <w:color w:val="000000"/>
                <w:sz w:val="20"/>
                <w:szCs w:val="20"/>
                <w:lang w:eastAsia="en-GB"/>
              </w:rPr>
              <w:t>Joseph et al</w:t>
            </w:r>
            <w:r w:rsidR="000026F8">
              <w:rPr>
                <w:rFonts w:eastAsia="Times New Roman" w:cs="Arial"/>
                <w:bCs/>
                <w:color w:val="000000"/>
                <w:sz w:val="20"/>
                <w:szCs w:val="20"/>
                <w:lang w:eastAsia="en-GB"/>
              </w:rPr>
              <w:t>.</w:t>
            </w:r>
            <w:r w:rsidRPr="004C22EB">
              <w:rPr>
                <w:rFonts w:eastAsia="Times New Roman" w:cs="Arial"/>
                <w:bCs/>
                <w:color w:val="000000"/>
                <w:sz w:val="20"/>
                <w:szCs w:val="20"/>
                <w:lang w:eastAsia="en-GB"/>
              </w:rPr>
              <w:t xml:space="preserve"> 2011</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277E80" w14:textId="77777777" w:rsidR="00C87E84" w:rsidRPr="004C22EB" w:rsidRDefault="00C87E84" w:rsidP="009B1891">
            <w:pPr>
              <w:jc w:val="center"/>
              <w:rPr>
                <w:rFonts w:ascii="Calibri" w:hAnsi="Calibri"/>
                <w:color w:val="000000"/>
              </w:rPr>
            </w:pPr>
            <w:r w:rsidRPr="004C22EB">
              <w:rPr>
                <w:rFonts w:ascii="Calibri" w:hAnsi="Calibri"/>
                <w:color w:val="000000"/>
              </w:rPr>
              <w:t>6.31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B2CEE09"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o</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B49A9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9AC1E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0EC112"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911A1CF" w14:textId="77777777" w:rsidR="00C87E84" w:rsidRPr="004C22EB" w:rsidRDefault="00C87E84" w:rsidP="009B1891">
            <w:pPr>
              <w:jc w:val="center"/>
              <w:rPr>
                <w:rFonts w:eastAsia="Times New Roman" w:cs="Arial"/>
                <w:color w:val="000000"/>
                <w:sz w:val="20"/>
                <w:szCs w:val="20"/>
                <w:lang w:eastAsia="en-GB"/>
              </w:rPr>
            </w:pPr>
            <w:r w:rsidRPr="004C22EB">
              <w:rPr>
                <w:rFonts w:eastAsia="Times New Roman" w:cs="Arial"/>
                <w:color w:val="000000"/>
                <w:sz w:val="20"/>
                <w:szCs w:val="20"/>
                <w:lang w:eastAsia="en-GB"/>
              </w:rPr>
              <w:t>y</w:t>
            </w:r>
          </w:p>
        </w:tc>
      </w:tr>
    </w:tbl>
    <w:p w14:paraId="26585EA5" w14:textId="77777777" w:rsidR="00CD110C" w:rsidRDefault="00CD110C" w:rsidP="00CD110C">
      <w:pPr>
        <w:ind w:left="360" w:hanging="360"/>
        <w:rPr>
          <w:rFonts w:cs="Arial"/>
          <w:b/>
          <w:i/>
          <w:color w:val="333333"/>
          <w:lang w:val="en"/>
        </w:rPr>
      </w:pPr>
    </w:p>
    <w:p w14:paraId="0ACD93F3" w14:textId="2DBD2145" w:rsidR="00CD110C" w:rsidRPr="004B560C" w:rsidRDefault="00CD110C" w:rsidP="004B560C">
      <w:pPr>
        <w:pStyle w:val="Footer"/>
      </w:pPr>
      <w:proofErr w:type="gramStart"/>
      <w:r w:rsidRPr="004B560C">
        <w:t>a</w:t>
      </w:r>
      <w:proofErr w:type="gramEnd"/>
      <w:r w:rsidRPr="004B560C">
        <w:t xml:space="preserve"> (y) study included in the review; (-) study not included in the review</w:t>
      </w:r>
    </w:p>
    <w:p w14:paraId="0EB8A104" w14:textId="77AC6D16" w:rsidR="00CD110C" w:rsidRPr="004B560C" w:rsidRDefault="00CD110C" w:rsidP="004B560C">
      <w:pPr>
        <w:pStyle w:val="Footer"/>
      </w:pPr>
      <w:proofErr w:type="gramStart"/>
      <w:r w:rsidRPr="004B560C">
        <w:t>b</w:t>
      </w:r>
      <w:proofErr w:type="gramEnd"/>
      <w:r w:rsidR="00741965" w:rsidRPr="004B560C">
        <w:t xml:space="preserve"> </w:t>
      </w:r>
      <w:r w:rsidRPr="004B560C">
        <w:t>baseline total-C concentrations given for separate groups</w:t>
      </w:r>
    </w:p>
    <w:p w14:paraId="07AFC511" w14:textId="4F909534" w:rsidR="00CD110C" w:rsidRPr="004B560C" w:rsidRDefault="00CD110C" w:rsidP="004B560C">
      <w:pPr>
        <w:pStyle w:val="Footer"/>
      </w:pPr>
      <w:proofErr w:type="gramStart"/>
      <w:r w:rsidRPr="004B560C">
        <w:t>c</w:t>
      </w:r>
      <w:proofErr w:type="gramEnd"/>
      <w:r w:rsidR="00741965" w:rsidRPr="004B560C">
        <w:t xml:space="preserve"> </w:t>
      </w:r>
      <w:r w:rsidRPr="004B560C">
        <w:t>(</w:t>
      </w:r>
      <w:proofErr w:type="spellStart"/>
      <w:r w:rsidRPr="004B560C">
        <w:t>i</w:t>
      </w:r>
      <w:proofErr w:type="spellEnd"/>
      <w:r w:rsidRPr="004B560C">
        <w:t xml:space="preserve">) industrial TFA tested; (r) ruminant TFA tested via </w:t>
      </w:r>
      <w:proofErr w:type="spellStart"/>
      <w:r w:rsidRPr="004B560C">
        <w:t>biofortification</w:t>
      </w:r>
      <w:proofErr w:type="spellEnd"/>
      <w:r w:rsidRPr="004B560C">
        <w:t xml:space="preserve"> of dairy fat; (o) synthetic cis-9, trans-11 conjugated linoleic acid used</w:t>
      </w:r>
    </w:p>
    <w:p w14:paraId="05BE8717" w14:textId="6026F706" w:rsidR="00CD110C" w:rsidRPr="00CD110C" w:rsidRDefault="00CD110C" w:rsidP="004B560C">
      <w:pPr>
        <w:pStyle w:val="Footer"/>
        <w:rPr>
          <w:b/>
          <w:i/>
          <w:lang w:val="en"/>
        </w:rPr>
      </w:pPr>
      <w:proofErr w:type="gramStart"/>
      <w:r w:rsidRPr="004B560C">
        <w:t>d</w:t>
      </w:r>
      <w:proofErr w:type="gramEnd"/>
      <w:r w:rsidR="00741965" w:rsidRPr="004B560C">
        <w:t xml:space="preserve"> t</w:t>
      </w:r>
      <w:r w:rsidRPr="004B560C">
        <w:t>otal-C concentration during/at end of the study period</w:t>
      </w:r>
      <w:r w:rsidRPr="00CD110C">
        <w:rPr>
          <w:b/>
          <w:i/>
          <w:lang w:val="en"/>
        </w:rPr>
        <w:br w:type="page"/>
      </w:r>
    </w:p>
    <w:p w14:paraId="12301E15" w14:textId="085BE2AC" w:rsidR="00C87E84" w:rsidRPr="004B560C" w:rsidRDefault="00C87E84" w:rsidP="004B560C">
      <w:pPr>
        <w:pStyle w:val="Table2"/>
      </w:pPr>
      <w:r w:rsidRPr="004B560C">
        <w:rPr>
          <w:b/>
          <w:lang w:val="en"/>
        </w:rPr>
        <w:lastRenderedPageBreak/>
        <w:t xml:space="preserve">Table </w:t>
      </w:r>
      <w:r w:rsidR="001C59FC" w:rsidRPr="004B560C">
        <w:rPr>
          <w:b/>
          <w:lang w:val="en"/>
        </w:rPr>
        <w:t>3</w:t>
      </w:r>
      <w:r w:rsidR="004B560C">
        <w:rPr>
          <w:b/>
          <w:lang w:val="en"/>
        </w:rPr>
        <w:t>:</w:t>
      </w:r>
      <w:r w:rsidRPr="004B560C">
        <w:rPr>
          <w:lang w:val="en"/>
        </w:rPr>
        <w:t xml:space="preserve"> Effect of increasing TFA intake by 1% energy in exchange for the stated comparator macronutrient</w:t>
      </w:r>
    </w:p>
    <w:p w14:paraId="5AFEC3D3" w14:textId="77777777" w:rsidR="00C87E84" w:rsidRPr="004C22EB" w:rsidRDefault="00C87E84" w:rsidP="00C87E84">
      <w:pPr>
        <w:rPr>
          <w:rFonts w:cs="Arial"/>
          <w:color w:val="333333"/>
          <w:sz w:val="19"/>
          <w:szCs w:val="19"/>
          <w:lang w:val="en"/>
        </w:rPr>
      </w:pPr>
    </w:p>
    <w:tbl>
      <w:tblPr>
        <w:tblStyle w:val="TableGrid"/>
        <w:tblW w:w="9039" w:type="dxa"/>
        <w:tblLook w:val="04A0" w:firstRow="1" w:lastRow="0" w:firstColumn="1" w:lastColumn="0" w:noHBand="0" w:noVBand="1"/>
        <w:tblDescription w:val="Table with 7 columns and 4 rows. For each of the 4 reviews, information is given about the description of the intervention, when the literature search was done, the comparator macronutrient and the mean LDL-C, HDL-C and Total-C when TFA intake is increased by 1% in exchange for the comparator."/>
      </w:tblPr>
      <w:tblGrid>
        <w:gridCol w:w="1271"/>
        <w:gridCol w:w="1530"/>
        <w:gridCol w:w="1139"/>
        <w:gridCol w:w="1428"/>
        <w:gridCol w:w="1261"/>
        <w:gridCol w:w="1134"/>
        <w:gridCol w:w="1276"/>
      </w:tblGrid>
      <w:tr w:rsidR="00290704" w:rsidRPr="004C22EB" w14:paraId="502AB614" w14:textId="77777777" w:rsidTr="0012317E">
        <w:trPr>
          <w:tblHeader/>
        </w:trPr>
        <w:tc>
          <w:tcPr>
            <w:tcW w:w="1271" w:type="dxa"/>
            <w:vMerge w:val="restart"/>
          </w:tcPr>
          <w:p w14:paraId="3D074138" w14:textId="6EDB7A47" w:rsidR="00290704" w:rsidRPr="004C22EB" w:rsidRDefault="00290704" w:rsidP="009B1891">
            <w:pPr>
              <w:rPr>
                <w:rFonts w:cs="Arial"/>
                <w:sz w:val="20"/>
                <w:szCs w:val="20"/>
              </w:rPr>
            </w:pPr>
            <w:r w:rsidRPr="004C22EB">
              <w:rPr>
                <w:rFonts w:cs="Arial"/>
                <w:sz w:val="20"/>
                <w:szCs w:val="20"/>
              </w:rPr>
              <w:t>Author</w:t>
            </w:r>
            <w:r w:rsidR="00E33061">
              <w:rPr>
                <w:rFonts w:cs="Arial"/>
                <w:sz w:val="20"/>
                <w:szCs w:val="20"/>
              </w:rPr>
              <w:t>, y</w:t>
            </w:r>
            <w:r>
              <w:rPr>
                <w:rFonts w:cs="Arial"/>
                <w:sz w:val="20"/>
                <w:szCs w:val="20"/>
              </w:rPr>
              <w:t>ear</w:t>
            </w:r>
          </w:p>
        </w:tc>
        <w:tc>
          <w:tcPr>
            <w:tcW w:w="1530" w:type="dxa"/>
            <w:vMerge w:val="restart"/>
          </w:tcPr>
          <w:p w14:paraId="5A5DE5F9" w14:textId="19C22E4D" w:rsidR="00290704" w:rsidRPr="004C22EB" w:rsidRDefault="00290704" w:rsidP="009B1891">
            <w:pPr>
              <w:rPr>
                <w:rFonts w:cs="Arial"/>
                <w:sz w:val="20"/>
                <w:szCs w:val="20"/>
              </w:rPr>
            </w:pPr>
            <w:r>
              <w:rPr>
                <w:rFonts w:cs="Arial"/>
                <w:sz w:val="20"/>
                <w:szCs w:val="20"/>
              </w:rPr>
              <w:t xml:space="preserve">Description of </w:t>
            </w:r>
            <w:r w:rsidRPr="004C22EB">
              <w:rPr>
                <w:rFonts w:cs="Arial"/>
                <w:sz w:val="20"/>
                <w:szCs w:val="20"/>
              </w:rPr>
              <w:t>Intervention</w:t>
            </w:r>
          </w:p>
        </w:tc>
        <w:tc>
          <w:tcPr>
            <w:tcW w:w="1139" w:type="dxa"/>
            <w:vMerge w:val="restart"/>
          </w:tcPr>
          <w:p w14:paraId="5F4C591F" w14:textId="28CE7F5B" w:rsidR="00290704" w:rsidRPr="004C22EB" w:rsidRDefault="00290704" w:rsidP="00E33061">
            <w:pPr>
              <w:rPr>
                <w:rFonts w:cs="Arial"/>
                <w:sz w:val="20"/>
                <w:szCs w:val="20"/>
              </w:rPr>
            </w:pPr>
            <w:r w:rsidRPr="004C22EB">
              <w:rPr>
                <w:rFonts w:cs="Arial"/>
                <w:sz w:val="20"/>
                <w:szCs w:val="20"/>
              </w:rPr>
              <w:t>Literature search</w:t>
            </w:r>
          </w:p>
        </w:tc>
        <w:tc>
          <w:tcPr>
            <w:tcW w:w="1428" w:type="dxa"/>
            <w:vMerge w:val="restart"/>
          </w:tcPr>
          <w:p w14:paraId="0F03E809" w14:textId="4BD540DD" w:rsidR="00290704" w:rsidRPr="004C22EB" w:rsidRDefault="00290704" w:rsidP="009B1891">
            <w:pPr>
              <w:rPr>
                <w:rFonts w:cs="Arial"/>
                <w:sz w:val="20"/>
                <w:szCs w:val="20"/>
              </w:rPr>
            </w:pPr>
            <w:r w:rsidRPr="004C22EB">
              <w:rPr>
                <w:rFonts w:cs="Arial"/>
                <w:sz w:val="20"/>
                <w:szCs w:val="20"/>
              </w:rPr>
              <w:t>Comparator</w:t>
            </w:r>
          </w:p>
        </w:tc>
        <w:tc>
          <w:tcPr>
            <w:tcW w:w="3671" w:type="dxa"/>
            <w:gridSpan w:val="3"/>
          </w:tcPr>
          <w:p w14:paraId="15AE060C" w14:textId="12AD3B32" w:rsidR="00290704" w:rsidRPr="004C22EB" w:rsidRDefault="00290704" w:rsidP="009B1891">
            <w:pPr>
              <w:rPr>
                <w:rFonts w:cs="Arial"/>
                <w:sz w:val="20"/>
                <w:szCs w:val="20"/>
              </w:rPr>
            </w:pPr>
            <w:r>
              <w:rPr>
                <w:rFonts w:cs="Arial"/>
                <w:sz w:val="20"/>
                <w:szCs w:val="20"/>
              </w:rPr>
              <w:t>Mean (</w:t>
            </w:r>
            <w:proofErr w:type="spellStart"/>
            <w:r>
              <w:rPr>
                <w:rFonts w:cs="Arial"/>
                <w:sz w:val="20"/>
                <w:szCs w:val="20"/>
              </w:rPr>
              <w:t>mmol</w:t>
            </w:r>
            <w:proofErr w:type="spellEnd"/>
            <w:r>
              <w:rPr>
                <w:rFonts w:cs="Arial"/>
                <w:sz w:val="20"/>
                <w:szCs w:val="20"/>
              </w:rPr>
              <w:t>/L) (95% CI)</w:t>
            </w:r>
          </w:p>
        </w:tc>
      </w:tr>
      <w:tr w:rsidR="00290704" w:rsidRPr="004C22EB" w14:paraId="3E79FED0" w14:textId="77777777" w:rsidTr="0012317E">
        <w:trPr>
          <w:trHeight w:val="328"/>
          <w:tblHeader/>
        </w:trPr>
        <w:tc>
          <w:tcPr>
            <w:tcW w:w="1271" w:type="dxa"/>
            <w:vMerge/>
          </w:tcPr>
          <w:p w14:paraId="7AAB5854" w14:textId="4F313E14" w:rsidR="00290704" w:rsidRPr="004C22EB" w:rsidRDefault="00290704" w:rsidP="009B1891">
            <w:pPr>
              <w:rPr>
                <w:rFonts w:cs="Arial"/>
                <w:sz w:val="20"/>
                <w:szCs w:val="20"/>
              </w:rPr>
            </w:pPr>
          </w:p>
        </w:tc>
        <w:tc>
          <w:tcPr>
            <w:tcW w:w="1530" w:type="dxa"/>
            <w:vMerge/>
          </w:tcPr>
          <w:p w14:paraId="1A689730" w14:textId="4DDD7DCF" w:rsidR="00290704" w:rsidRPr="004C22EB" w:rsidRDefault="00290704" w:rsidP="009B1891">
            <w:pPr>
              <w:rPr>
                <w:rFonts w:cs="Arial"/>
                <w:sz w:val="20"/>
                <w:szCs w:val="20"/>
              </w:rPr>
            </w:pPr>
          </w:p>
        </w:tc>
        <w:tc>
          <w:tcPr>
            <w:tcW w:w="1139" w:type="dxa"/>
            <w:vMerge/>
          </w:tcPr>
          <w:p w14:paraId="03A730FE" w14:textId="77777777" w:rsidR="00290704" w:rsidRPr="004C22EB" w:rsidRDefault="00290704" w:rsidP="009B1891">
            <w:pPr>
              <w:rPr>
                <w:rFonts w:cs="Arial"/>
                <w:sz w:val="20"/>
                <w:szCs w:val="20"/>
              </w:rPr>
            </w:pPr>
          </w:p>
        </w:tc>
        <w:tc>
          <w:tcPr>
            <w:tcW w:w="1428" w:type="dxa"/>
            <w:vMerge/>
          </w:tcPr>
          <w:p w14:paraId="400F2C1B" w14:textId="35F67AE4" w:rsidR="00290704" w:rsidRPr="004C22EB" w:rsidRDefault="00290704" w:rsidP="009B1891">
            <w:pPr>
              <w:rPr>
                <w:rFonts w:cs="Arial"/>
                <w:sz w:val="20"/>
                <w:szCs w:val="20"/>
              </w:rPr>
            </w:pPr>
          </w:p>
        </w:tc>
        <w:tc>
          <w:tcPr>
            <w:tcW w:w="1261" w:type="dxa"/>
          </w:tcPr>
          <w:p w14:paraId="211BEB9E" w14:textId="62FD7672" w:rsidR="00290704" w:rsidRPr="004C22EB" w:rsidRDefault="00290704" w:rsidP="00F94E52">
            <w:pPr>
              <w:rPr>
                <w:rFonts w:cs="Arial"/>
                <w:sz w:val="20"/>
                <w:szCs w:val="20"/>
              </w:rPr>
            </w:pPr>
            <w:r w:rsidRPr="004C22EB">
              <w:rPr>
                <w:rFonts w:cs="Arial"/>
                <w:sz w:val="20"/>
                <w:szCs w:val="20"/>
              </w:rPr>
              <w:t xml:space="preserve">LDL–C </w:t>
            </w:r>
          </w:p>
        </w:tc>
        <w:tc>
          <w:tcPr>
            <w:tcW w:w="1134" w:type="dxa"/>
          </w:tcPr>
          <w:p w14:paraId="472ABDC7" w14:textId="30B5F172" w:rsidR="00290704" w:rsidRPr="004C22EB" w:rsidRDefault="00290704" w:rsidP="00F94E52">
            <w:pPr>
              <w:rPr>
                <w:rFonts w:cs="Arial"/>
                <w:sz w:val="20"/>
                <w:szCs w:val="20"/>
              </w:rPr>
            </w:pPr>
            <w:r w:rsidRPr="004C22EB">
              <w:rPr>
                <w:rFonts w:cs="Arial"/>
                <w:sz w:val="20"/>
                <w:szCs w:val="20"/>
              </w:rPr>
              <w:t xml:space="preserve">HDL-C </w:t>
            </w:r>
          </w:p>
        </w:tc>
        <w:tc>
          <w:tcPr>
            <w:tcW w:w="1276" w:type="dxa"/>
          </w:tcPr>
          <w:p w14:paraId="4DBF49AB" w14:textId="44747B19" w:rsidR="00290704" w:rsidRPr="004C22EB" w:rsidRDefault="00290704" w:rsidP="00F94E52">
            <w:pPr>
              <w:rPr>
                <w:rFonts w:cs="Arial"/>
                <w:sz w:val="20"/>
                <w:szCs w:val="20"/>
              </w:rPr>
            </w:pPr>
            <w:r w:rsidRPr="004C22EB">
              <w:rPr>
                <w:rFonts w:cs="Arial"/>
                <w:sz w:val="20"/>
                <w:szCs w:val="20"/>
              </w:rPr>
              <w:t xml:space="preserve">Total-C </w:t>
            </w:r>
          </w:p>
        </w:tc>
      </w:tr>
      <w:tr w:rsidR="00290704" w:rsidRPr="004C22EB" w14:paraId="105793D9" w14:textId="77777777" w:rsidTr="00290704">
        <w:tc>
          <w:tcPr>
            <w:tcW w:w="1271" w:type="dxa"/>
          </w:tcPr>
          <w:p w14:paraId="6931354C" w14:textId="2F1CEDEE" w:rsidR="00C87E84" w:rsidRPr="004C22EB" w:rsidRDefault="00C87E84" w:rsidP="000026F8">
            <w:pPr>
              <w:rPr>
                <w:rFonts w:cs="Arial"/>
                <w:sz w:val="20"/>
                <w:szCs w:val="20"/>
              </w:rPr>
            </w:pPr>
            <w:proofErr w:type="spellStart"/>
            <w:r w:rsidRPr="004C22EB">
              <w:rPr>
                <w:rFonts w:cs="Arial"/>
                <w:sz w:val="20"/>
                <w:szCs w:val="20"/>
              </w:rPr>
              <w:t>Mensink</w:t>
            </w:r>
            <w:proofErr w:type="spellEnd"/>
            <w:r w:rsidRPr="004C22EB">
              <w:rPr>
                <w:rFonts w:cs="Arial"/>
                <w:sz w:val="20"/>
                <w:szCs w:val="20"/>
              </w:rPr>
              <w:t xml:space="preserve"> et al</w:t>
            </w:r>
            <w:r w:rsidR="000026F8">
              <w:rPr>
                <w:rFonts w:cs="Arial"/>
                <w:sz w:val="20"/>
                <w:szCs w:val="20"/>
              </w:rPr>
              <w:t>.</w:t>
            </w:r>
            <w:r w:rsidR="000026F8" w:rsidRPr="004C22EB">
              <w:rPr>
                <w:rFonts w:cs="Arial"/>
                <w:sz w:val="20"/>
                <w:szCs w:val="20"/>
              </w:rPr>
              <w:t xml:space="preserve"> </w:t>
            </w:r>
            <w:r w:rsidRPr="004C22EB">
              <w:rPr>
                <w:rFonts w:cs="Arial"/>
                <w:sz w:val="20"/>
                <w:szCs w:val="20"/>
              </w:rPr>
              <w:t>2003</w:t>
            </w:r>
          </w:p>
        </w:tc>
        <w:tc>
          <w:tcPr>
            <w:tcW w:w="1530" w:type="dxa"/>
          </w:tcPr>
          <w:p w14:paraId="1FD6863E" w14:textId="77777777" w:rsidR="00C87E84" w:rsidRPr="004C22EB" w:rsidRDefault="00C87E84" w:rsidP="009B1891">
            <w:pPr>
              <w:rPr>
                <w:rFonts w:cs="Arial"/>
                <w:sz w:val="20"/>
                <w:szCs w:val="20"/>
              </w:rPr>
            </w:pPr>
            <w:r w:rsidRPr="004C22EB">
              <w:rPr>
                <w:rFonts w:cs="Arial"/>
                <w:sz w:val="20"/>
                <w:szCs w:val="20"/>
              </w:rPr>
              <w:t>Highly controlled food intake studies, no lipid or glucose metabolism disturbances</w:t>
            </w:r>
          </w:p>
        </w:tc>
        <w:tc>
          <w:tcPr>
            <w:tcW w:w="1139" w:type="dxa"/>
          </w:tcPr>
          <w:p w14:paraId="03E8C601" w14:textId="77777777" w:rsidR="00C87E84" w:rsidRPr="004C22EB" w:rsidRDefault="00C87E84" w:rsidP="009B1891">
            <w:pPr>
              <w:rPr>
                <w:rFonts w:cs="Arial"/>
                <w:sz w:val="20"/>
                <w:szCs w:val="20"/>
              </w:rPr>
            </w:pPr>
            <w:r w:rsidRPr="004C22EB">
              <w:rPr>
                <w:rFonts w:cs="Arial"/>
                <w:sz w:val="20"/>
                <w:szCs w:val="20"/>
              </w:rPr>
              <w:t>1970-December 1998</w:t>
            </w:r>
          </w:p>
        </w:tc>
        <w:tc>
          <w:tcPr>
            <w:tcW w:w="1428" w:type="dxa"/>
          </w:tcPr>
          <w:p w14:paraId="1400C0CC" w14:textId="77777777" w:rsidR="00C87E84" w:rsidRPr="004C22EB" w:rsidRDefault="00C87E84" w:rsidP="009B1891">
            <w:pPr>
              <w:rPr>
                <w:rFonts w:cs="Arial"/>
                <w:sz w:val="20"/>
                <w:szCs w:val="20"/>
              </w:rPr>
            </w:pPr>
            <w:r w:rsidRPr="004C22EB">
              <w:rPr>
                <w:rFonts w:cs="Arial"/>
                <w:sz w:val="20"/>
                <w:szCs w:val="20"/>
              </w:rPr>
              <w:t>Carbohydrate</w:t>
            </w:r>
          </w:p>
        </w:tc>
        <w:tc>
          <w:tcPr>
            <w:tcW w:w="1261" w:type="dxa"/>
          </w:tcPr>
          <w:p w14:paraId="2E07CD42" w14:textId="77777777" w:rsidR="004D3AAF" w:rsidRDefault="004D3AAF" w:rsidP="009B1891">
            <w:pPr>
              <w:rPr>
                <w:rFonts w:cs="Arial"/>
                <w:color w:val="403838"/>
                <w:sz w:val="20"/>
                <w:szCs w:val="20"/>
              </w:rPr>
            </w:pPr>
            <w:r>
              <w:rPr>
                <w:rFonts w:cs="Arial"/>
                <w:color w:val="403838"/>
                <w:sz w:val="20"/>
                <w:szCs w:val="20"/>
              </w:rPr>
              <w:t>+0.04</w:t>
            </w:r>
          </w:p>
          <w:p w14:paraId="7BF120EE" w14:textId="57D331FE" w:rsidR="00C87E84" w:rsidRPr="004C22EB" w:rsidRDefault="00C87E84" w:rsidP="009B1891">
            <w:pPr>
              <w:rPr>
                <w:rFonts w:cs="Arial"/>
                <w:color w:val="403838"/>
                <w:sz w:val="20"/>
                <w:szCs w:val="20"/>
              </w:rPr>
            </w:pPr>
            <w:r w:rsidRPr="004C22EB">
              <w:rPr>
                <w:rFonts w:cs="Arial"/>
                <w:color w:val="403838"/>
                <w:sz w:val="20"/>
                <w:szCs w:val="20"/>
              </w:rPr>
              <w:t>(</w:t>
            </w:r>
            <w:r w:rsidR="00290704">
              <w:rPr>
                <w:rFonts w:cs="Arial"/>
                <w:color w:val="403838"/>
                <w:sz w:val="20"/>
                <w:szCs w:val="20"/>
              </w:rPr>
              <w:t>+</w:t>
            </w:r>
            <w:r w:rsidRPr="004C22EB">
              <w:rPr>
                <w:rFonts w:cs="Arial"/>
                <w:color w:val="403838"/>
                <w:sz w:val="20"/>
                <w:szCs w:val="20"/>
              </w:rPr>
              <w:t>0.02</w:t>
            </w:r>
            <w:r w:rsidR="004D3AAF">
              <w:rPr>
                <w:rFonts w:cs="Arial"/>
                <w:color w:val="403838"/>
                <w:sz w:val="20"/>
                <w:szCs w:val="20"/>
              </w:rPr>
              <w:t xml:space="preserve"> to </w:t>
            </w:r>
            <w:r w:rsidR="00290704">
              <w:rPr>
                <w:rFonts w:cs="Arial"/>
                <w:color w:val="403838"/>
                <w:sz w:val="20"/>
                <w:szCs w:val="20"/>
              </w:rPr>
              <w:t>+</w:t>
            </w:r>
            <w:r w:rsidR="004D3AAF">
              <w:rPr>
                <w:rFonts w:cs="Arial"/>
                <w:color w:val="403838"/>
                <w:sz w:val="20"/>
                <w:szCs w:val="20"/>
              </w:rPr>
              <w:t>0.06</w:t>
            </w:r>
            <w:r w:rsidRPr="004C22EB">
              <w:rPr>
                <w:rFonts w:cs="Arial"/>
                <w:color w:val="403838"/>
                <w:sz w:val="20"/>
                <w:szCs w:val="20"/>
              </w:rPr>
              <w:t>)</w:t>
            </w:r>
          </w:p>
          <w:p w14:paraId="6C894DF5" w14:textId="77777777" w:rsidR="00C87E84" w:rsidRPr="004C22EB" w:rsidRDefault="00C87E84" w:rsidP="009B1891">
            <w:pPr>
              <w:rPr>
                <w:rFonts w:cs="Arial"/>
                <w:sz w:val="20"/>
                <w:szCs w:val="20"/>
              </w:rPr>
            </w:pPr>
          </w:p>
        </w:tc>
        <w:tc>
          <w:tcPr>
            <w:tcW w:w="1134" w:type="dxa"/>
          </w:tcPr>
          <w:p w14:paraId="0932A05E" w14:textId="77777777" w:rsidR="004D3AAF" w:rsidRDefault="004D3AAF" w:rsidP="009B1891">
            <w:pPr>
              <w:rPr>
                <w:rFonts w:cs="Arial"/>
                <w:color w:val="403838"/>
                <w:sz w:val="20"/>
                <w:szCs w:val="20"/>
              </w:rPr>
            </w:pPr>
            <w:r>
              <w:rPr>
                <w:rFonts w:cs="Arial"/>
                <w:color w:val="403838"/>
                <w:sz w:val="20"/>
                <w:szCs w:val="20"/>
              </w:rPr>
              <w:t>0.00</w:t>
            </w:r>
          </w:p>
          <w:p w14:paraId="6A80A7D0" w14:textId="5C31BD8E" w:rsidR="00C87E84" w:rsidRPr="004C22EB" w:rsidRDefault="004D3AAF" w:rsidP="009B1891">
            <w:pPr>
              <w:rPr>
                <w:rFonts w:cs="Arial"/>
                <w:color w:val="403838"/>
                <w:sz w:val="20"/>
                <w:szCs w:val="20"/>
              </w:rPr>
            </w:pPr>
            <w:r>
              <w:rPr>
                <w:rFonts w:cs="Arial"/>
                <w:color w:val="403838"/>
                <w:sz w:val="20"/>
                <w:szCs w:val="20"/>
              </w:rPr>
              <w:t>(−0.01</w:t>
            </w:r>
            <w:r w:rsidR="00C87E84" w:rsidRPr="004C22EB">
              <w:rPr>
                <w:rFonts w:cs="Arial"/>
                <w:color w:val="403838"/>
                <w:sz w:val="20"/>
                <w:szCs w:val="20"/>
              </w:rPr>
              <w:t xml:space="preserve"> to </w:t>
            </w:r>
            <w:r w:rsidR="00290704">
              <w:rPr>
                <w:rFonts w:cs="Arial"/>
                <w:color w:val="403838"/>
                <w:sz w:val="20"/>
                <w:szCs w:val="20"/>
              </w:rPr>
              <w:t>+</w:t>
            </w:r>
            <w:r w:rsidR="00C87E84" w:rsidRPr="004C22EB">
              <w:rPr>
                <w:rFonts w:cs="Arial"/>
                <w:color w:val="403838"/>
                <w:sz w:val="20"/>
                <w:szCs w:val="20"/>
              </w:rPr>
              <w:t>0.0</w:t>
            </w:r>
            <w:r>
              <w:rPr>
                <w:rFonts w:cs="Arial"/>
                <w:color w:val="403838"/>
                <w:sz w:val="20"/>
                <w:szCs w:val="20"/>
              </w:rPr>
              <w:t>1</w:t>
            </w:r>
            <w:r w:rsidR="00C87E84" w:rsidRPr="004C22EB">
              <w:rPr>
                <w:rFonts w:cs="Arial"/>
                <w:color w:val="403838"/>
                <w:sz w:val="20"/>
                <w:szCs w:val="20"/>
              </w:rPr>
              <w:t>)</w:t>
            </w:r>
          </w:p>
          <w:p w14:paraId="64B2C17C" w14:textId="77777777" w:rsidR="00C87E84" w:rsidRPr="004C22EB" w:rsidRDefault="00C87E84" w:rsidP="009B1891">
            <w:pPr>
              <w:rPr>
                <w:rFonts w:cs="Arial"/>
                <w:sz w:val="20"/>
                <w:szCs w:val="20"/>
              </w:rPr>
            </w:pPr>
          </w:p>
        </w:tc>
        <w:tc>
          <w:tcPr>
            <w:tcW w:w="1276" w:type="dxa"/>
          </w:tcPr>
          <w:p w14:paraId="4C593A4D" w14:textId="77777777" w:rsidR="00290704" w:rsidRDefault="00C87E84" w:rsidP="009B1891">
            <w:pPr>
              <w:rPr>
                <w:rFonts w:cs="Arial"/>
                <w:color w:val="403838"/>
                <w:sz w:val="20"/>
                <w:szCs w:val="20"/>
              </w:rPr>
            </w:pPr>
            <w:r w:rsidRPr="004C22EB">
              <w:rPr>
                <w:rFonts w:cs="Arial"/>
                <w:color w:val="403838"/>
                <w:sz w:val="20"/>
                <w:szCs w:val="20"/>
              </w:rPr>
              <w:t xml:space="preserve">+0.03 </w:t>
            </w:r>
          </w:p>
          <w:p w14:paraId="38B5939B" w14:textId="3E57DF7D" w:rsidR="00C87E84" w:rsidRPr="004C22EB" w:rsidRDefault="00C87E84" w:rsidP="009B1891">
            <w:pPr>
              <w:rPr>
                <w:rFonts w:cs="Arial"/>
                <w:color w:val="403838"/>
                <w:sz w:val="20"/>
                <w:szCs w:val="20"/>
              </w:rPr>
            </w:pPr>
            <w:r w:rsidRPr="004C22EB">
              <w:rPr>
                <w:rFonts w:cs="Arial"/>
                <w:color w:val="403838"/>
                <w:sz w:val="20"/>
                <w:szCs w:val="20"/>
              </w:rPr>
              <w:t>(</w:t>
            </w:r>
            <w:r w:rsidR="00290704">
              <w:rPr>
                <w:rFonts w:cs="Arial"/>
                <w:color w:val="403838"/>
                <w:sz w:val="20"/>
                <w:szCs w:val="20"/>
              </w:rPr>
              <w:t>+</w:t>
            </w:r>
            <w:r w:rsidRPr="004C22EB">
              <w:rPr>
                <w:rFonts w:cs="Arial"/>
                <w:color w:val="403838"/>
                <w:sz w:val="20"/>
                <w:szCs w:val="20"/>
              </w:rPr>
              <w:t xml:space="preserve">0.02 to </w:t>
            </w:r>
            <w:r w:rsidR="00290704">
              <w:rPr>
                <w:rFonts w:cs="Arial"/>
                <w:color w:val="403838"/>
                <w:sz w:val="20"/>
                <w:szCs w:val="20"/>
              </w:rPr>
              <w:t>+</w:t>
            </w:r>
            <w:r w:rsidRPr="004C22EB">
              <w:rPr>
                <w:rFonts w:cs="Arial"/>
                <w:color w:val="403838"/>
                <w:sz w:val="20"/>
                <w:szCs w:val="20"/>
              </w:rPr>
              <w:t>0.04)</w:t>
            </w:r>
          </w:p>
          <w:p w14:paraId="28EC67D1" w14:textId="77777777" w:rsidR="00C87E84" w:rsidRPr="004C22EB" w:rsidRDefault="00C87E84" w:rsidP="009B1891">
            <w:pPr>
              <w:rPr>
                <w:rFonts w:cs="Arial"/>
                <w:sz w:val="20"/>
                <w:szCs w:val="20"/>
              </w:rPr>
            </w:pPr>
          </w:p>
        </w:tc>
      </w:tr>
      <w:tr w:rsidR="00290704" w:rsidRPr="004C22EB" w14:paraId="65572BD6" w14:textId="77777777" w:rsidTr="00290704">
        <w:tc>
          <w:tcPr>
            <w:tcW w:w="1271" w:type="dxa"/>
          </w:tcPr>
          <w:p w14:paraId="0ACF93EC" w14:textId="77777777" w:rsidR="00C87E84" w:rsidRPr="004C22EB" w:rsidRDefault="00C87E84" w:rsidP="009B1891">
            <w:pPr>
              <w:rPr>
                <w:rFonts w:cs="Arial"/>
                <w:sz w:val="20"/>
                <w:szCs w:val="20"/>
              </w:rPr>
            </w:pPr>
            <w:proofErr w:type="spellStart"/>
            <w:r w:rsidRPr="004C22EB">
              <w:rPr>
                <w:rFonts w:cs="Arial"/>
                <w:sz w:val="20"/>
                <w:szCs w:val="20"/>
              </w:rPr>
              <w:t>Mozaffarian</w:t>
            </w:r>
            <w:proofErr w:type="spellEnd"/>
            <w:r w:rsidRPr="004C22EB">
              <w:rPr>
                <w:rFonts w:cs="Arial"/>
                <w:sz w:val="20"/>
                <w:szCs w:val="20"/>
              </w:rPr>
              <w:t xml:space="preserve"> &amp; Clarke, 2009</w:t>
            </w:r>
          </w:p>
        </w:tc>
        <w:tc>
          <w:tcPr>
            <w:tcW w:w="1530" w:type="dxa"/>
          </w:tcPr>
          <w:p w14:paraId="586A7F07" w14:textId="77777777" w:rsidR="00C87E84" w:rsidRPr="004C22EB" w:rsidRDefault="00C87E84" w:rsidP="009B1891">
            <w:pPr>
              <w:rPr>
                <w:rFonts w:cs="Arial"/>
                <w:sz w:val="20"/>
                <w:szCs w:val="20"/>
              </w:rPr>
            </w:pPr>
            <w:r w:rsidRPr="004C22EB">
              <w:rPr>
                <w:rFonts w:cs="Arial"/>
                <w:sz w:val="20"/>
                <w:szCs w:val="20"/>
              </w:rPr>
              <w:t>Controlled food intake studies</w:t>
            </w:r>
          </w:p>
        </w:tc>
        <w:tc>
          <w:tcPr>
            <w:tcW w:w="1139" w:type="dxa"/>
          </w:tcPr>
          <w:p w14:paraId="08981586" w14:textId="77777777" w:rsidR="00C87E84" w:rsidRPr="004C22EB" w:rsidRDefault="00C87E84" w:rsidP="009B1891">
            <w:pPr>
              <w:rPr>
                <w:rFonts w:cs="Arial"/>
                <w:sz w:val="20"/>
                <w:szCs w:val="20"/>
              </w:rPr>
            </w:pPr>
            <w:r w:rsidRPr="004C22EB">
              <w:rPr>
                <w:rFonts w:cs="Arial"/>
                <w:sz w:val="20"/>
                <w:szCs w:val="20"/>
              </w:rPr>
              <w:t>To January 2008</w:t>
            </w:r>
          </w:p>
        </w:tc>
        <w:tc>
          <w:tcPr>
            <w:tcW w:w="1428" w:type="dxa"/>
          </w:tcPr>
          <w:p w14:paraId="4D7E7152" w14:textId="51E86319" w:rsidR="00C87E84" w:rsidRPr="004C22EB" w:rsidRDefault="00D66A4F" w:rsidP="009B1891">
            <w:pPr>
              <w:rPr>
                <w:rFonts w:cs="Arial"/>
                <w:sz w:val="20"/>
                <w:szCs w:val="20"/>
              </w:rPr>
            </w:pPr>
            <w:r>
              <w:rPr>
                <w:rFonts w:cs="Arial"/>
                <w:sz w:val="20"/>
                <w:szCs w:val="20"/>
              </w:rPr>
              <w:t>c</w:t>
            </w:r>
            <w:r w:rsidR="00C87E84" w:rsidRPr="004C22EB">
              <w:rPr>
                <w:rFonts w:cs="Arial"/>
                <w:sz w:val="20"/>
                <w:szCs w:val="20"/>
              </w:rPr>
              <w:t>is-MUFA</w:t>
            </w:r>
          </w:p>
        </w:tc>
        <w:tc>
          <w:tcPr>
            <w:tcW w:w="1261" w:type="dxa"/>
          </w:tcPr>
          <w:p w14:paraId="0D4EA3DA" w14:textId="05EAE0C5" w:rsidR="00290704" w:rsidRDefault="00E33061" w:rsidP="009B1891">
            <w:pPr>
              <w:rPr>
                <w:rFonts w:cs="Arial"/>
                <w:sz w:val="20"/>
                <w:szCs w:val="20"/>
              </w:rPr>
            </w:pPr>
            <w:r>
              <w:rPr>
                <w:rFonts w:cs="Arial"/>
                <w:sz w:val="20"/>
                <w:szCs w:val="20"/>
              </w:rPr>
              <w:t>+0.04</w:t>
            </w:r>
            <w:r w:rsidR="004D3AAF">
              <w:rPr>
                <w:rFonts w:cs="Arial"/>
                <w:sz w:val="20"/>
                <w:szCs w:val="20"/>
              </w:rPr>
              <w:t xml:space="preserve"> </w:t>
            </w:r>
          </w:p>
          <w:p w14:paraId="06CE471C" w14:textId="28584E3E" w:rsidR="00C87E84" w:rsidRPr="004C22EB" w:rsidRDefault="004D3AAF" w:rsidP="009B1891">
            <w:pPr>
              <w:rPr>
                <w:rFonts w:cs="Arial"/>
                <w:sz w:val="20"/>
                <w:szCs w:val="20"/>
              </w:rPr>
            </w:pPr>
            <w:r>
              <w:rPr>
                <w:rFonts w:cs="Arial"/>
                <w:sz w:val="20"/>
                <w:szCs w:val="20"/>
              </w:rPr>
              <w:t>(</w:t>
            </w:r>
            <w:r w:rsidR="00290704">
              <w:rPr>
                <w:rFonts w:cs="Arial"/>
                <w:sz w:val="20"/>
                <w:szCs w:val="20"/>
              </w:rPr>
              <w:t>+</w:t>
            </w:r>
            <w:r>
              <w:rPr>
                <w:rFonts w:cs="Arial"/>
                <w:sz w:val="20"/>
                <w:szCs w:val="20"/>
              </w:rPr>
              <w:t xml:space="preserve">0.02 to </w:t>
            </w:r>
            <w:r w:rsidR="00290704">
              <w:rPr>
                <w:rFonts w:cs="Arial"/>
                <w:sz w:val="20"/>
                <w:szCs w:val="20"/>
              </w:rPr>
              <w:t>+</w:t>
            </w:r>
            <w:r>
              <w:rPr>
                <w:rFonts w:cs="Arial"/>
                <w:sz w:val="20"/>
                <w:szCs w:val="20"/>
              </w:rPr>
              <w:t>0.05</w:t>
            </w:r>
            <w:r w:rsidR="00C87E84" w:rsidRPr="004C22EB">
              <w:rPr>
                <w:rFonts w:cs="Arial"/>
                <w:sz w:val="20"/>
                <w:szCs w:val="20"/>
              </w:rPr>
              <w:t>)</w:t>
            </w:r>
          </w:p>
        </w:tc>
        <w:tc>
          <w:tcPr>
            <w:tcW w:w="1134" w:type="dxa"/>
          </w:tcPr>
          <w:p w14:paraId="328ABB5D" w14:textId="77777777" w:rsidR="00C87E84" w:rsidRPr="004C22EB" w:rsidRDefault="00C87E84" w:rsidP="009B1891">
            <w:pPr>
              <w:rPr>
                <w:rFonts w:cs="Arial"/>
                <w:sz w:val="20"/>
                <w:szCs w:val="20"/>
              </w:rPr>
            </w:pPr>
            <w:r w:rsidRPr="004C22EB">
              <w:rPr>
                <w:rFonts w:cs="Arial"/>
                <w:sz w:val="20"/>
                <w:szCs w:val="20"/>
              </w:rPr>
              <w:t>-0.01</w:t>
            </w:r>
          </w:p>
          <w:p w14:paraId="0F42AF7C" w14:textId="12C83880" w:rsidR="00C87E84" w:rsidRPr="004C22EB" w:rsidRDefault="00C87E84" w:rsidP="004D3AAF">
            <w:pPr>
              <w:rPr>
                <w:rFonts w:cs="Arial"/>
                <w:sz w:val="20"/>
                <w:szCs w:val="20"/>
              </w:rPr>
            </w:pPr>
            <w:r w:rsidRPr="004C22EB">
              <w:rPr>
                <w:rFonts w:cs="Arial"/>
                <w:sz w:val="20"/>
                <w:szCs w:val="20"/>
              </w:rPr>
              <w:t xml:space="preserve"> (-0.0</w:t>
            </w:r>
            <w:r w:rsidR="004D3AAF">
              <w:rPr>
                <w:rFonts w:cs="Arial"/>
                <w:sz w:val="20"/>
                <w:szCs w:val="20"/>
              </w:rPr>
              <w:t>2</w:t>
            </w:r>
            <w:r w:rsidRPr="004C22EB">
              <w:rPr>
                <w:rFonts w:cs="Arial"/>
                <w:sz w:val="20"/>
                <w:szCs w:val="20"/>
              </w:rPr>
              <w:t xml:space="preserve"> to -0.00</w:t>
            </w:r>
            <w:r w:rsidR="00290704">
              <w:rPr>
                <w:rFonts w:cs="Arial"/>
                <w:sz w:val="20"/>
                <w:szCs w:val="20"/>
              </w:rPr>
              <w:t>)</w:t>
            </w:r>
          </w:p>
        </w:tc>
        <w:tc>
          <w:tcPr>
            <w:tcW w:w="1276" w:type="dxa"/>
          </w:tcPr>
          <w:p w14:paraId="7F614A97" w14:textId="77777777" w:rsidR="00290704" w:rsidRDefault="00C87E84" w:rsidP="004D3AAF">
            <w:pPr>
              <w:rPr>
                <w:rFonts w:cs="Arial"/>
                <w:sz w:val="20"/>
                <w:szCs w:val="20"/>
              </w:rPr>
            </w:pPr>
            <w:r w:rsidRPr="004C22EB">
              <w:rPr>
                <w:rFonts w:cs="Arial"/>
                <w:sz w:val="20"/>
                <w:szCs w:val="20"/>
              </w:rPr>
              <w:t xml:space="preserve">+0.03 </w:t>
            </w:r>
          </w:p>
          <w:p w14:paraId="0C52F394" w14:textId="13D4077B" w:rsidR="00C87E84" w:rsidRPr="004C22EB" w:rsidRDefault="00C87E84" w:rsidP="004D3AAF">
            <w:pPr>
              <w:rPr>
                <w:rFonts w:cs="Arial"/>
                <w:sz w:val="20"/>
                <w:szCs w:val="20"/>
              </w:rPr>
            </w:pPr>
            <w:r w:rsidRPr="004C22EB">
              <w:rPr>
                <w:rFonts w:cs="Arial"/>
                <w:sz w:val="20"/>
                <w:szCs w:val="20"/>
              </w:rPr>
              <w:t>(</w:t>
            </w:r>
            <w:r w:rsidR="000760CC">
              <w:rPr>
                <w:rFonts w:cs="Arial"/>
                <w:sz w:val="20"/>
                <w:szCs w:val="20"/>
              </w:rPr>
              <w:t>+</w:t>
            </w:r>
            <w:r w:rsidRPr="004C22EB">
              <w:rPr>
                <w:rFonts w:cs="Arial"/>
                <w:sz w:val="20"/>
                <w:szCs w:val="20"/>
              </w:rPr>
              <w:t>0.0</w:t>
            </w:r>
            <w:r w:rsidR="004D3AAF">
              <w:rPr>
                <w:rFonts w:cs="Arial"/>
                <w:sz w:val="20"/>
                <w:szCs w:val="20"/>
              </w:rPr>
              <w:t>2</w:t>
            </w:r>
            <w:r w:rsidRPr="004C22EB">
              <w:rPr>
                <w:rFonts w:cs="Arial"/>
                <w:sz w:val="20"/>
                <w:szCs w:val="20"/>
              </w:rPr>
              <w:t xml:space="preserve"> to </w:t>
            </w:r>
            <w:r w:rsidR="000760CC">
              <w:rPr>
                <w:rFonts w:cs="Arial"/>
                <w:sz w:val="20"/>
                <w:szCs w:val="20"/>
              </w:rPr>
              <w:t>+</w:t>
            </w:r>
            <w:r w:rsidRPr="004C22EB">
              <w:rPr>
                <w:rFonts w:cs="Arial"/>
                <w:sz w:val="20"/>
                <w:szCs w:val="20"/>
              </w:rPr>
              <w:t>0.0</w:t>
            </w:r>
            <w:r w:rsidR="004D3AAF">
              <w:rPr>
                <w:rFonts w:cs="Arial"/>
                <w:sz w:val="20"/>
                <w:szCs w:val="20"/>
              </w:rPr>
              <w:t>5</w:t>
            </w:r>
            <w:r w:rsidRPr="004C22EB">
              <w:rPr>
                <w:rFonts w:cs="Arial"/>
                <w:sz w:val="20"/>
                <w:szCs w:val="20"/>
              </w:rPr>
              <w:t>)</w:t>
            </w:r>
          </w:p>
        </w:tc>
      </w:tr>
      <w:tr w:rsidR="00290704" w:rsidRPr="004C22EB" w14:paraId="59F221C5" w14:textId="77777777" w:rsidTr="00290704">
        <w:tc>
          <w:tcPr>
            <w:tcW w:w="1271" w:type="dxa"/>
            <w:vMerge w:val="restart"/>
          </w:tcPr>
          <w:p w14:paraId="5C399DFC" w14:textId="43A357CE" w:rsidR="00C87E84" w:rsidRPr="004C22EB" w:rsidRDefault="00C87E84" w:rsidP="009B1891">
            <w:pPr>
              <w:rPr>
                <w:rFonts w:cs="Arial"/>
                <w:sz w:val="20"/>
                <w:szCs w:val="20"/>
              </w:rPr>
            </w:pPr>
            <w:proofErr w:type="spellStart"/>
            <w:r w:rsidRPr="004C22EB">
              <w:rPr>
                <w:rFonts w:cs="Arial"/>
                <w:sz w:val="20"/>
                <w:szCs w:val="20"/>
              </w:rPr>
              <w:t>Brouwer</w:t>
            </w:r>
            <w:proofErr w:type="spellEnd"/>
            <w:r w:rsidRPr="004C22EB">
              <w:rPr>
                <w:rFonts w:cs="Arial"/>
                <w:sz w:val="20"/>
                <w:szCs w:val="20"/>
              </w:rPr>
              <w:t xml:space="preserve"> &amp; al</w:t>
            </w:r>
            <w:r w:rsidR="000026F8">
              <w:rPr>
                <w:rFonts w:cs="Arial"/>
                <w:sz w:val="20"/>
                <w:szCs w:val="20"/>
              </w:rPr>
              <w:t>.</w:t>
            </w:r>
            <w:r w:rsidRPr="004C22EB">
              <w:rPr>
                <w:rFonts w:cs="Arial"/>
                <w:sz w:val="20"/>
                <w:szCs w:val="20"/>
              </w:rPr>
              <w:t xml:space="preserve"> 2010</w:t>
            </w:r>
          </w:p>
        </w:tc>
        <w:tc>
          <w:tcPr>
            <w:tcW w:w="1530" w:type="dxa"/>
          </w:tcPr>
          <w:p w14:paraId="296EC64F" w14:textId="77777777" w:rsidR="00C87E84" w:rsidRPr="004C22EB" w:rsidRDefault="00C87E84" w:rsidP="009B1891">
            <w:pPr>
              <w:rPr>
                <w:rFonts w:cs="Arial"/>
                <w:sz w:val="20"/>
                <w:szCs w:val="20"/>
              </w:rPr>
            </w:pPr>
            <w:r w:rsidRPr="004C22EB">
              <w:rPr>
                <w:rFonts w:cs="Arial"/>
                <w:sz w:val="20"/>
                <w:szCs w:val="20"/>
              </w:rPr>
              <w:t>Subset of industrial TFA studies</w:t>
            </w:r>
          </w:p>
        </w:tc>
        <w:tc>
          <w:tcPr>
            <w:tcW w:w="1139" w:type="dxa"/>
            <w:vMerge w:val="restart"/>
          </w:tcPr>
          <w:p w14:paraId="19BA7E8C" w14:textId="77777777" w:rsidR="00C87E84" w:rsidRPr="004C22EB" w:rsidRDefault="00C87E84" w:rsidP="009B1891">
            <w:pPr>
              <w:rPr>
                <w:rFonts w:cs="Arial"/>
                <w:sz w:val="20"/>
                <w:szCs w:val="20"/>
              </w:rPr>
            </w:pPr>
            <w:r w:rsidRPr="004C22EB">
              <w:rPr>
                <w:rFonts w:cs="Arial"/>
                <w:sz w:val="20"/>
                <w:szCs w:val="20"/>
              </w:rPr>
              <w:t>To January 2010</w:t>
            </w:r>
          </w:p>
        </w:tc>
        <w:tc>
          <w:tcPr>
            <w:tcW w:w="1428" w:type="dxa"/>
            <w:vMerge w:val="restart"/>
          </w:tcPr>
          <w:p w14:paraId="22957D07" w14:textId="4A78CD38" w:rsidR="00C87E84" w:rsidRPr="004C22EB" w:rsidRDefault="00D66A4F" w:rsidP="009B1891">
            <w:pPr>
              <w:rPr>
                <w:rFonts w:cs="Arial"/>
                <w:sz w:val="20"/>
                <w:szCs w:val="20"/>
              </w:rPr>
            </w:pPr>
            <w:r>
              <w:rPr>
                <w:rFonts w:cs="Arial"/>
                <w:sz w:val="20"/>
                <w:szCs w:val="20"/>
              </w:rPr>
              <w:t>c</w:t>
            </w:r>
            <w:r w:rsidR="00F97215">
              <w:rPr>
                <w:rFonts w:cs="Arial"/>
                <w:sz w:val="20"/>
                <w:szCs w:val="20"/>
              </w:rPr>
              <w:t>is-MUFA</w:t>
            </w:r>
            <w:r w:rsidR="00C87E84" w:rsidRPr="004C22EB">
              <w:rPr>
                <w:rFonts w:cs="Arial"/>
                <w:sz w:val="20"/>
                <w:szCs w:val="20"/>
              </w:rPr>
              <w:t xml:space="preserve"> </w:t>
            </w:r>
          </w:p>
        </w:tc>
        <w:tc>
          <w:tcPr>
            <w:tcW w:w="1261" w:type="dxa"/>
          </w:tcPr>
          <w:p w14:paraId="5BEA49E9" w14:textId="1EBB4883" w:rsidR="00C87E84" w:rsidRPr="004C22EB" w:rsidRDefault="00C87E84" w:rsidP="009B1891">
            <w:pPr>
              <w:rPr>
                <w:rFonts w:cs="Arial"/>
                <w:color w:val="333333"/>
                <w:sz w:val="20"/>
                <w:szCs w:val="20"/>
                <w:lang w:val="en"/>
              </w:rPr>
            </w:pPr>
            <w:r w:rsidRPr="004C22EB">
              <w:rPr>
                <w:rFonts w:cs="Arial"/>
                <w:color w:val="333333"/>
                <w:sz w:val="20"/>
                <w:szCs w:val="20"/>
                <w:lang w:val="en"/>
              </w:rPr>
              <w:t>+0.0</w:t>
            </w:r>
            <w:r w:rsidR="004D3AAF">
              <w:rPr>
                <w:rFonts w:cs="Arial"/>
                <w:color w:val="333333"/>
                <w:sz w:val="20"/>
                <w:szCs w:val="20"/>
                <w:lang w:val="en"/>
              </w:rPr>
              <w:t>5</w:t>
            </w:r>
            <w:r w:rsidRPr="004C22EB">
              <w:rPr>
                <w:rFonts w:cs="Arial"/>
                <w:color w:val="333333"/>
                <w:sz w:val="20"/>
                <w:szCs w:val="20"/>
                <w:lang w:val="en"/>
              </w:rPr>
              <w:t xml:space="preserve"> </w:t>
            </w:r>
          </w:p>
          <w:p w14:paraId="46225DB7" w14:textId="0EFB4267" w:rsidR="00C87E84" w:rsidRPr="004C22EB" w:rsidRDefault="00C87E84" w:rsidP="004D3AAF">
            <w:pPr>
              <w:rPr>
                <w:rFonts w:cs="Arial"/>
                <w:sz w:val="20"/>
                <w:szCs w:val="20"/>
              </w:rPr>
            </w:pPr>
            <w:r w:rsidRPr="004C22EB">
              <w:rPr>
                <w:rFonts w:cs="Arial"/>
                <w:color w:val="333333"/>
                <w:sz w:val="20"/>
                <w:szCs w:val="20"/>
                <w:lang w:val="en"/>
              </w:rPr>
              <w:t>(</w:t>
            </w:r>
            <w:r w:rsidR="00E33061">
              <w:rPr>
                <w:rFonts w:cs="Arial"/>
                <w:color w:val="333333"/>
                <w:sz w:val="20"/>
                <w:szCs w:val="20"/>
                <w:lang w:val="en"/>
              </w:rPr>
              <w:t>+</w:t>
            </w:r>
            <w:r w:rsidRPr="004C22EB">
              <w:rPr>
                <w:rFonts w:cs="Arial"/>
                <w:color w:val="333333"/>
                <w:sz w:val="20"/>
                <w:szCs w:val="20"/>
                <w:lang w:val="en"/>
              </w:rPr>
              <w:t>0.0</w:t>
            </w:r>
            <w:r w:rsidR="004D3AAF">
              <w:rPr>
                <w:rFonts w:cs="Arial"/>
                <w:color w:val="333333"/>
                <w:sz w:val="20"/>
                <w:szCs w:val="20"/>
                <w:lang w:val="en"/>
              </w:rPr>
              <w:t>4</w:t>
            </w:r>
            <w:r w:rsidRPr="004C22EB">
              <w:rPr>
                <w:rFonts w:cs="Arial"/>
                <w:color w:val="333333"/>
                <w:sz w:val="20"/>
                <w:szCs w:val="20"/>
                <w:lang w:val="en"/>
              </w:rPr>
              <w:t xml:space="preserve"> to </w:t>
            </w:r>
            <w:r w:rsidR="00E33061">
              <w:rPr>
                <w:rFonts w:cs="Arial"/>
                <w:color w:val="333333"/>
                <w:sz w:val="20"/>
                <w:szCs w:val="20"/>
                <w:lang w:val="en"/>
              </w:rPr>
              <w:t>+</w:t>
            </w:r>
            <w:r w:rsidRPr="004C22EB">
              <w:rPr>
                <w:rFonts w:cs="Arial"/>
                <w:color w:val="333333"/>
                <w:sz w:val="20"/>
                <w:szCs w:val="20"/>
                <w:lang w:val="en"/>
              </w:rPr>
              <w:t>0.0</w:t>
            </w:r>
            <w:r w:rsidR="004D3AAF">
              <w:rPr>
                <w:rFonts w:cs="Arial"/>
                <w:color w:val="333333"/>
                <w:sz w:val="20"/>
                <w:szCs w:val="20"/>
                <w:lang w:val="en"/>
              </w:rPr>
              <w:t>6</w:t>
            </w:r>
            <w:r w:rsidR="00290704">
              <w:rPr>
                <w:rFonts w:cs="Arial"/>
                <w:color w:val="333333"/>
                <w:sz w:val="20"/>
                <w:szCs w:val="20"/>
                <w:lang w:val="en"/>
              </w:rPr>
              <w:t>)</w:t>
            </w:r>
          </w:p>
        </w:tc>
        <w:tc>
          <w:tcPr>
            <w:tcW w:w="1134" w:type="dxa"/>
          </w:tcPr>
          <w:p w14:paraId="2F7208CD" w14:textId="7F7FDB2E" w:rsidR="00C87E84" w:rsidRPr="004C22EB" w:rsidRDefault="00C87E84" w:rsidP="004D3AAF">
            <w:pPr>
              <w:rPr>
                <w:rFonts w:cs="Arial"/>
                <w:sz w:val="20"/>
                <w:szCs w:val="20"/>
              </w:rPr>
            </w:pPr>
            <w:r w:rsidRPr="004C22EB">
              <w:rPr>
                <w:rFonts w:cs="Arial"/>
                <w:color w:val="333333"/>
                <w:sz w:val="20"/>
                <w:szCs w:val="20"/>
                <w:lang w:val="en"/>
              </w:rPr>
              <w:t>−0.01 (−0.01 to −0.0</w:t>
            </w:r>
            <w:r w:rsidR="004D3AAF">
              <w:rPr>
                <w:rFonts w:cs="Arial"/>
                <w:color w:val="333333"/>
                <w:sz w:val="20"/>
                <w:szCs w:val="20"/>
                <w:lang w:val="en"/>
              </w:rPr>
              <w:t>1</w:t>
            </w:r>
            <w:r w:rsidR="00290704">
              <w:rPr>
                <w:rFonts w:cs="Arial"/>
                <w:color w:val="333333"/>
                <w:sz w:val="20"/>
                <w:szCs w:val="20"/>
                <w:lang w:val="en"/>
              </w:rPr>
              <w:t>)</w:t>
            </w:r>
          </w:p>
        </w:tc>
        <w:tc>
          <w:tcPr>
            <w:tcW w:w="1276" w:type="dxa"/>
          </w:tcPr>
          <w:p w14:paraId="44C879B6" w14:textId="7470D69B" w:rsidR="00C87E84" w:rsidRPr="004C22EB" w:rsidRDefault="00AF12D0" w:rsidP="009B1891">
            <w:pPr>
              <w:rPr>
                <w:rFonts w:cs="Arial"/>
                <w:sz w:val="20"/>
                <w:szCs w:val="20"/>
              </w:rPr>
            </w:pPr>
            <w:r w:rsidRPr="004C22EB">
              <w:rPr>
                <w:rFonts w:cs="Arial"/>
                <w:sz w:val="20"/>
                <w:szCs w:val="20"/>
              </w:rPr>
              <w:t>Not reported</w:t>
            </w:r>
          </w:p>
        </w:tc>
      </w:tr>
      <w:tr w:rsidR="00290704" w:rsidRPr="004C22EB" w14:paraId="697993D3" w14:textId="77777777" w:rsidTr="00290704">
        <w:tc>
          <w:tcPr>
            <w:tcW w:w="1271" w:type="dxa"/>
            <w:vMerge/>
          </w:tcPr>
          <w:p w14:paraId="39065690" w14:textId="77777777" w:rsidR="00C87E84" w:rsidRPr="004C22EB" w:rsidRDefault="00C87E84" w:rsidP="009B1891">
            <w:pPr>
              <w:rPr>
                <w:rFonts w:cs="Arial"/>
                <w:sz w:val="20"/>
                <w:szCs w:val="20"/>
              </w:rPr>
            </w:pPr>
          </w:p>
        </w:tc>
        <w:tc>
          <w:tcPr>
            <w:tcW w:w="1530" w:type="dxa"/>
          </w:tcPr>
          <w:p w14:paraId="43339D8A" w14:textId="77777777" w:rsidR="00C87E84" w:rsidRPr="004C22EB" w:rsidRDefault="00C87E84" w:rsidP="009B1891">
            <w:pPr>
              <w:rPr>
                <w:rFonts w:cs="Arial"/>
                <w:sz w:val="20"/>
                <w:szCs w:val="20"/>
              </w:rPr>
            </w:pPr>
            <w:r w:rsidRPr="004C22EB">
              <w:rPr>
                <w:rFonts w:cs="Arial"/>
                <w:sz w:val="20"/>
                <w:szCs w:val="20"/>
              </w:rPr>
              <w:t>Subset of ruminant TFA studies</w:t>
            </w:r>
          </w:p>
        </w:tc>
        <w:tc>
          <w:tcPr>
            <w:tcW w:w="1139" w:type="dxa"/>
            <w:vMerge/>
          </w:tcPr>
          <w:p w14:paraId="2E2F9F0F" w14:textId="77777777" w:rsidR="00C87E84" w:rsidRPr="004C22EB" w:rsidRDefault="00C87E84" w:rsidP="009B1891">
            <w:pPr>
              <w:rPr>
                <w:rFonts w:cs="Arial"/>
                <w:sz w:val="20"/>
                <w:szCs w:val="20"/>
              </w:rPr>
            </w:pPr>
          </w:p>
        </w:tc>
        <w:tc>
          <w:tcPr>
            <w:tcW w:w="1428" w:type="dxa"/>
            <w:vMerge/>
          </w:tcPr>
          <w:p w14:paraId="73F5D9D0" w14:textId="77777777" w:rsidR="00C87E84" w:rsidRPr="004C22EB" w:rsidRDefault="00C87E84" w:rsidP="009B1891">
            <w:pPr>
              <w:rPr>
                <w:rFonts w:cs="Arial"/>
                <w:sz w:val="20"/>
                <w:szCs w:val="20"/>
              </w:rPr>
            </w:pPr>
          </w:p>
        </w:tc>
        <w:tc>
          <w:tcPr>
            <w:tcW w:w="1261" w:type="dxa"/>
          </w:tcPr>
          <w:p w14:paraId="39B1F8D3" w14:textId="32EB148B" w:rsidR="00C87E84" w:rsidRPr="004C22EB" w:rsidRDefault="00C87E84" w:rsidP="004D3AAF">
            <w:pPr>
              <w:rPr>
                <w:rFonts w:cs="Arial"/>
                <w:color w:val="333333"/>
                <w:sz w:val="20"/>
                <w:szCs w:val="20"/>
                <w:lang w:val="en"/>
              </w:rPr>
            </w:pPr>
            <w:r w:rsidRPr="004C22EB">
              <w:rPr>
                <w:rFonts w:cs="Arial"/>
                <w:color w:val="333333"/>
                <w:sz w:val="20"/>
                <w:szCs w:val="20"/>
                <w:lang w:val="en"/>
              </w:rPr>
              <w:t>+0.0</w:t>
            </w:r>
            <w:r w:rsidR="00290704">
              <w:rPr>
                <w:rFonts w:cs="Arial"/>
                <w:color w:val="333333"/>
                <w:sz w:val="20"/>
                <w:szCs w:val="20"/>
                <w:lang w:val="en"/>
              </w:rPr>
              <w:t>5 (−0.00</w:t>
            </w:r>
            <w:r w:rsidRPr="004C22EB">
              <w:rPr>
                <w:rFonts w:cs="Arial"/>
                <w:color w:val="333333"/>
                <w:sz w:val="20"/>
                <w:szCs w:val="20"/>
                <w:lang w:val="en"/>
              </w:rPr>
              <w:t xml:space="preserve"> to </w:t>
            </w:r>
            <w:r w:rsidR="00290704">
              <w:rPr>
                <w:rFonts w:cs="Arial"/>
                <w:color w:val="333333"/>
                <w:sz w:val="20"/>
                <w:szCs w:val="20"/>
                <w:lang w:val="en"/>
              </w:rPr>
              <w:t>+</w:t>
            </w:r>
            <w:r w:rsidRPr="004C22EB">
              <w:rPr>
                <w:rFonts w:cs="Arial"/>
                <w:color w:val="333333"/>
                <w:sz w:val="20"/>
                <w:szCs w:val="20"/>
                <w:lang w:val="en"/>
              </w:rPr>
              <w:t>0.09</w:t>
            </w:r>
          </w:p>
        </w:tc>
        <w:tc>
          <w:tcPr>
            <w:tcW w:w="1134" w:type="dxa"/>
          </w:tcPr>
          <w:p w14:paraId="7BA37EA8" w14:textId="670866E0" w:rsidR="00C87E84" w:rsidRPr="004C22EB" w:rsidRDefault="00C87E84" w:rsidP="004D3AAF">
            <w:pPr>
              <w:rPr>
                <w:rFonts w:cs="Arial"/>
                <w:color w:val="333333"/>
                <w:sz w:val="20"/>
                <w:szCs w:val="20"/>
                <w:lang w:val="en"/>
              </w:rPr>
            </w:pPr>
            <w:r w:rsidRPr="004C22EB">
              <w:rPr>
                <w:rFonts w:cs="Arial"/>
                <w:color w:val="333333"/>
                <w:sz w:val="20"/>
                <w:szCs w:val="20"/>
                <w:lang w:val="en"/>
              </w:rPr>
              <w:t>−0.0</w:t>
            </w:r>
            <w:r w:rsidR="004D3AAF">
              <w:rPr>
                <w:rFonts w:cs="Arial"/>
                <w:color w:val="333333"/>
                <w:sz w:val="20"/>
                <w:szCs w:val="20"/>
                <w:lang w:val="en"/>
              </w:rPr>
              <w:t>1</w:t>
            </w:r>
            <w:r w:rsidRPr="004C22EB">
              <w:rPr>
                <w:rFonts w:cs="Arial"/>
                <w:color w:val="333333"/>
                <w:sz w:val="20"/>
                <w:szCs w:val="20"/>
                <w:lang w:val="en"/>
              </w:rPr>
              <w:t xml:space="preserve"> (−0.0</w:t>
            </w:r>
            <w:r w:rsidR="004D3AAF">
              <w:rPr>
                <w:rFonts w:cs="Arial"/>
                <w:color w:val="333333"/>
                <w:sz w:val="20"/>
                <w:szCs w:val="20"/>
                <w:lang w:val="en"/>
              </w:rPr>
              <w:t>3</w:t>
            </w:r>
            <w:r w:rsidRPr="004C22EB">
              <w:rPr>
                <w:rFonts w:cs="Arial"/>
                <w:color w:val="333333"/>
                <w:sz w:val="20"/>
                <w:szCs w:val="20"/>
                <w:lang w:val="en"/>
              </w:rPr>
              <w:t xml:space="preserve"> to </w:t>
            </w:r>
            <w:r w:rsidR="00290704">
              <w:rPr>
                <w:rFonts w:cs="Arial"/>
                <w:color w:val="333333"/>
                <w:sz w:val="20"/>
                <w:szCs w:val="20"/>
                <w:lang w:val="en"/>
              </w:rPr>
              <w:t>+</w:t>
            </w:r>
            <w:r w:rsidRPr="004C22EB">
              <w:rPr>
                <w:rFonts w:cs="Arial"/>
                <w:color w:val="333333"/>
                <w:sz w:val="20"/>
                <w:szCs w:val="20"/>
                <w:lang w:val="en"/>
              </w:rPr>
              <w:t>0.0</w:t>
            </w:r>
            <w:r w:rsidR="004D3AAF">
              <w:rPr>
                <w:rFonts w:cs="Arial"/>
                <w:color w:val="333333"/>
                <w:sz w:val="20"/>
                <w:szCs w:val="20"/>
                <w:lang w:val="en"/>
              </w:rPr>
              <w:t>1</w:t>
            </w:r>
            <w:r w:rsidR="00290704">
              <w:rPr>
                <w:rFonts w:cs="Arial"/>
                <w:color w:val="333333"/>
                <w:sz w:val="20"/>
                <w:szCs w:val="20"/>
                <w:lang w:val="en"/>
              </w:rPr>
              <w:t>)</w:t>
            </w:r>
          </w:p>
        </w:tc>
        <w:tc>
          <w:tcPr>
            <w:tcW w:w="1276" w:type="dxa"/>
          </w:tcPr>
          <w:p w14:paraId="4A3EE239" w14:textId="03BE7841" w:rsidR="00C87E84" w:rsidRPr="004C22EB" w:rsidRDefault="00AF12D0" w:rsidP="009B1891">
            <w:pPr>
              <w:rPr>
                <w:rFonts w:cs="Arial"/>
                <w:sz w:val="20"/>
                <w:szCs w:val="20"/>
              </w:rPr>
            </w:pPr>
            <w:r w:rsidRPr="004C22EB">
              <w:rPr>
                <w:rFonts w:cs="Arial"/>
                <w:sz w:val="20"/>
                <w:szCs w:val="20"/>
              </w:rPr>
              <w:t>Not reported</w:t>
            </w:r>
          </w:p>
        </w:tc>
      </w:tr>
      <w:tr w:rsidR="00290704" w:rsidRPr="004C22EB" w14:paraId="628476A9" w14:textId="77777777" w:rsidTr="00290704">
        <w:tc>
          <w:tcPr>
            <w:tcW w:w="1271" w:type="dxa"/>
            <w:vMerge w:val="restart"/>
          </w:tcPr>
          <w:p w14:paraId="7828EDCD" w14:textId="443F6825" w:rsidR="00C87E84" w:rsidRPr="004C22EB" w:rsidRDefault="001307F7" w:rsidP="00DB6F85">
            <w:pPr>
              <w:rPr>
                <w:rFonts w:cs="Arial"/>
                <w:sz w:val="20"/>
                <w:szCs w:val="20"/>
              </w:rPr>
            </w:pPr>
            <w:proofErr w:type="spellStart"/>
            <w:r>
              <w:rPr>
                <w:rFonts w:cs="Arial"/>
                <w:sz w:val="20"/>
                <w:szCs w:val="20"/>
              </w:rPr>
              <w:t>Hafekost</w:t>
            </w:r>
            <w:proofErr w:type="spellEnd"/>
            <w:r>
              <w:rPr>
                <w:rFonts w:cs="Arial"/>
                <w:sz w:val="20"/>
                <w:szCs w:val="20"/>
              </w:rPr>
              <w:t xml:space="preserve"> et al.</w:t>
            </w:r>
            <w:r w:rsidR="00DB6F85">
              <w:rPr>
                <w:rFonts w:cs="Arial"/>
                <w:sz w:val="20"/>
                <w:szCs w:val="20"/>
              </w:rPr>
              <w:t xml:space="preserve"> </w:t>
            </w:r>
            <w:r w:rsidR="00C87E84" w:rsidRPr="004C22EB">
              <w:rPr>
                <w:rFonts w:cs="Arial"/>
                <w:sz w:val="20"/>
                <w:szCs w:val="20"/>
              </w:rPr>
              <w:t>2014</w:t>
            </w:r>
          </w:p>
        </w:tc>
        <w:tc>
          <w:tcPr>
            <w:tcW w:w="1530" w:type="dxa"/>
            <w:vMerge w:val="restart"/>
          </w:tcPr>
          <w:p w14:paraId="5537BDBE" w14:textId="77777777" w:rsidR="00C87E84" w:rsidRPr="004C22EB" w:rsidRDefault="00C87E84" w:rsidP="009B1891">
            <w:pPr>
              <w:rPr>
                <w:rFonts w:cs="Arial"/>
                <w:sz w:val="20"/>
                <w:szCs w:val="20"/>
              </w:rPr>
            </w:pPr>
            <w:r w:rsidRPr="004C22EB">
              <w:rPr>
                <w:rFonts w:cs="Arial"/>
                <w:sz w:val="20"/>
                <w:szCs w:val="20"/>
              </w:rPr>
              <w:t>Food intake (industrial or ruminant TFA)  or supplement studies including ruminant CLA studies</w:t>
            </w:r>
          </w:p>
        </w:tc>
        <w:tc>
          <w:tcPr>
            <w:tcW w:w="1139" w:type="dxa"/>
            <w:vMerge w:val="restart"/>
          </w:tcPr>
          <w:p w14:paraId="56770DFE" w14:textId="77777777" w:rsidR="00C87E84" w:rsidRPr="004C22EB" w:rsidRDefault="00C87E84" w:rsidP="009B1891">
            <w:pPr>
              <w:rPr>
                <w:rFonts w:cs="Arial"/>
                <w:sz w:val="20"/>
                <w:szCs w:val="20"/>
              </w:rPr>
            </w:pPr>
            <w:r w:rsidRPr="004C22EB">
              <w:rPr>
                <w:rFonts w:cs="Arial"/>
                <w:sz w:val="20"/>
                <w:szCs w:val="20"/>
              </w:rPr>
              <w:t>2010-March 2014</w:t>
            </w:r>
          </w:p>
        </w:tc>
        <w:tc>
          <w:tcPr>
            <w:tcW w:w="1428" w:type="dxa"/>
            <w:vMerge w:val="restart"/>
          </w:tcPr>
          <w:p w14:paraId="3060BFA9" w14:textId="39F23412" w:rsidR="00C87E84" w:rsidRPr="004C22EB" w:rsidRDefault="00D66A4F" w:rsidP="009B1891">
            <w:pPr>
              <w:rPr>
                <w:rFonts w:cs="Arial"/>
                <w:sz w:val="20"/>
                <w:szCs w:val="20"/>
              </w:rPr>
            </w:pPr>
            <w:r>
              <w:rPr>
                <w:rFonts w:cs="Arial"/>
                <w:sz w:val="20"/>
                <w:szCs w:val="20"/>
              </w:rPr>
              <w:t>c</w:t>
            </w:r>
            <w:r w:rsidR="00C87E84" w:rsidRPr="004C22EB">
              <w:rPr>
                <w:rFonts w:cs="Arial"/>
                <w:sz w:val="20"/>
                <w:szCs w:val="20"/>
              </w:rPr>
              <w:t>is-MUFA</w:t>
            </w:r>
          </w:p>
        </w:tc>
        <w:tc>
          <w:tcPr>
            <w:tcW w:w="1261" w:type="dxa"/>
          </w:tcPr>
          <w:p w14:paraId="0AA58FF0" w14:textId="65D9F73A" w:rsidR="00C87E84" w:rsidRPr="004C22EB" w:rsidRDefault="00C87E84" w:rsidP="009B1891">
            <w:pPr>
              <w:rPr>
                <w:rFonts w:cs="Arial"/>
                <w:sz w:val="20"/>
                <w:szCs w:val="20"/>
              </w:rPr>
            </w:pPr>
            <w:r w:rsidRPr="004C22EB">
              <w:rPr>
                <w:rFonts w:cs="Arial"/>
                <w:sz w:val="20"/>
                <w:szCs w:val="20"/>
              </w:rPr>
              <w:t>+0.0</w:t>
            </w:r>
            <w:r w:rsidR="00290704">
              <w:rPr>
                <w:rFonts w:cs="Arial"/>
                <w:sz w:val="20"/>
                <w:szCs w:val="20"/>
              </w:rPr>
              <w:t>1</w:t>
            </w:r>
            <w:r w:rsidRPr="004C22EB">
              <w:rPr>
                <w:rFonts w:cs="Arial"/>
                <w:sz w:val="20"/>
                <w:szCs w:val="20"/>
              </w:rPr>
              <w:t xml:space="preserve"> </w:t>
            </w:r>
          </w:p>
          <w:p w14:paraId="0C8F9FFD" w14:textId="6BC861FF" w:rsidR="00C87E84" w:rsidRPr="004C22EB" w:rsidRDefault="00290704" w:rsidP="009B1891">
            <w:pPr>
              <w:rPr>
                <w:rFonts w:cs="Arial"/>
                <w:sz w:val="20"/>
                <w:szCs w:val="20"/>
              </w:rPr>
            </w:pPr>
            <w:r>
              <w:rPr>
                <w:rFonts w:cs="Arial"/>
                <w:sz w:val="20"/>
                <w:szCs w:val="20"/>
              </w:rPr>
              <w:t>(-0.04</w:t>
            </w:r>
            <w:r w:rsidR="00C87E84" w:rsidRPr="004C22EB">
              <w:rPr>
                <w:rFonts w:cs="Arial"/>
                <w:sz w:val="20"/>
                <w:szCs w:val="20"/>
              </w:rPr>
              <w:t xml:space="preserve"> to </w:t>
            </w:r>
            <w:r>
              <w:rPr>
                <w:rFonts w:cs="Arial"/>
                <w:sz w:val="20"/>
                <w:szCs w:val="20"/>
              </w:rPr>
              <w:t>+</w:t>
            </w:r>
            <w:r w:rsidR="00C87E84" w:rsidRPr="004C22EB">
              <w:rPr>
                <w:rFonts w:cs="Arial"/>
                <w:sz w:val="20"/>
                <w:szCs w:val="20"/>
              </w:rPr>
              <w:t>0.0</w:t>
            </w:r>
            <w:r w:rsidR="004D3AAF">
              <w:rPr>
                <w:rFonts w:cs="Arial"/>
                <w:sz w:val="20"/>
                <w:szCs w:val="20"/>
              </w:rPr>
              <w:t>7</w:t>
            </w:r>
            <w:r w:rsidR="00C87E84" w:rsidRPr="004C22EB">
              <w:rPr>
                <w:rFonts w:cs="Arial"/>
                <w:sz w:val="20"/>
                <w:szCs w:val="20"/>
              </w:rPr>
              <w:t>)</w:t>
            </w:r>
          </w:p>
          <w:p w14:paraId="7CF9706B" w14:textId="77777777" w:rsidR="00C87E84" w:rsidRPr="004C22EB" w:rsidRDefault="00C87E84" w:rsidP="009B1891">
            <w:pPr>
              <w:rPr>
                <w:rFonts w:cs="Arial"/>
                <w:sz w:val="20"/>
                <w:szCs w:val="20"/>
              </w:rPr>
            </w:pPr>
          </w:p>
          <w:p w14:paraId="085AABF7" w14:textId="5947798E" w:rsidR="00C87E84" w:rsidRPr="004C22EB" w:rsidRDefault="00C87E84" w:rsidP="009B1891">
            <w:pPr>
              <w:rPr>
                <w:rFonts w:cs="Arial"/>
                <w:sz w:val="20"/>
                <w:szCs w:val="20"/>
              </w:rPr>
            </w:pPr>
            <w:r w:rsidRPr="004C22EB">
              <w:rPr>
                <w:rFonts w:cs="Arial"/>
                <w:sz w:val="20"/>
                <w:szCs w:val="20"/>
              </w:rPr>
              <w:t>New studies only</w:t>
            </w:r>
            <w:r w:rsidR="00B91E8A" w:rsidRPr="00CD110C">
              <w:rPr>
                <w:rFonts w:cs="Arial"/>
                <w:b/>
                <w:i/>
                <w:color w:val="333333"/>
                <w:vertAlign w:val="superscript"/>
                <w:lang w:val="en"/>
              </w:rPr>
              <w:t xml:space="preserve"> </w:t>
            </w:r>
            <w:r w:rsidR="00B91E8A" w:rsidRPr="00B65F3C">
              <w:rPr>
                <w:rFonts w:cs="Arial"/>
                <w:b/>
                <w:color w:val="333333"/>
                <w:vertAlign w:val="superscript"/>
                <w:lang w:val="en"/>
              </w:rPr>
              <w:t>a</w:t>
            </w:r>
          </w:p>
        </w:tc>
        <w:tc>
          <w:tcPr>
            <w:tcW w:w="1134" w:type="dxa"/>
          </w:tcPr>
          <w:p w14:paraId="1983D635" w14:textId="6567BB7B" w:rsidR="00C87E84" w:rsidRPr="004C22EB" w:rsidRDefault="00C87E84" w:rsidP="009B1891">
            <w:pPr>
              <w:rPr>
                <w:rFonts w:cs="Arial"/>
                <w:sz w:val="20"/>
                <w:szCs w:val="20"/>
              </w:rPr>
            </w:pPr>
            <w:r w:rsidRPr="004C22EB">
              <w:rPr>
                <w:rFonts w:cs="Arial"/>
                <w:sz w:val="20"/>
                <w:szCs w:val="20"/>
              </w:rPr>
              <w:t xml:space="preserve">-0.02 </w:t>
            </w:r>
          </w:p>
          <w:p w14:paraId="71BD80EC" w14:textId="4A3A3F5D" w:rsidR="00C87E84" w:rsidRPr="004C22EB" w:rsidRDefault="00C87E84" w:rsidP="009B1891">
            <w:pPr>
              <w:rPr>
                <w:rFonts w:cs="Arial"/>
                <w:sz w:val="20"/>
                <w:szCs w:val="20"/>
              </w:rPr>
            </w:pPr>
            <w:r w:rsidRPr="004C22EB">
              <w:rPr>
                <w:rFonts w:cs="Arial"/>
                <w:sz w:val="20"/>
                <w:szCs w:val="20"/>
              </w:rPr>
              <w:t xml:space="preserve">(-0.05 to </w:t>
            </w:r>
            <w:r w:rsidR="00290704">
              <w:rPr>
                <w:rFonts w:cs="Arial"/>
                <w:sz w:val="20"/>
                <w:szCs w:val="20"/>
              </w:rPr>
              <w:t>+</w:t>
            </w:r>
            <w:r w:rsidRPr="004C22EB">
              <w:rPr>
                <w:rFonts w:cs="Arial"/>
                <w:sz w:val="20"/>
                <w:szCs w:val="20"/>
              </w:rPr>
              <w:t>0.0</w:t>
            </w:r>
            <w:r w:rsidR="004D3AAF">
              <w:rPr>
                <w:rFonts w:cs="Arial"/>
                <w:sz w:val="20"/>
                <w:szCs w:val="20"/>
              </w:rPr>
              <w:t>1</w:t>
            </w:r>
            <w:r w:rsidRPr="004C22EB">
              <w:rPr>
                <w:rFonts w:cs="Arial"/>
                <w:sz w:val="20"/>
                <w:szCs w:val="20"/>
              </w:rPr>
              <w:t>)</w:t>
            </w:r>
          </w:p>
          <w:p w14:paraId="0E07DD7E" w14:textId="77777777" w:rsidR="00C87E84" w:rsidRPr="004C22EB" w:rsidRDefault="00C87E84" w:rsidP="009B1891">
            <w:pPr>
              <w:rPr>
                <w:rFonts w:cs="Arial"/>
                <w:sz w:val="20"/>
                <w:szCs w:val="20"/>
              </w:rPr>
            </w:pPr>
          </w:p>
          <w:p w14:paraId="5EC8D2B5" w14:textId="73F10526" w:rsidR="00C87E84" w:rsidRPr="004C22EB" w:rsidRDefault="00C87E84" w:rsidP="009B1891">
            <w:pPr>
              <w:rPr>
                <w:rFonts w:cs="Arial"/>
                <w:sz w:val="20"/>
                <w:szCs w:val="20"/>
              </w:rPr>
            </w:pPr>
            <w:r w:rsidRPr="004C22EB">
              <w:rPr>
                <w:rFonts w:cs="Arial"/>
                <w:sz w:val="20"/>
                <w:szCs w:val="20"/>
              </w:rPr>
              <w:t>New studies only</w:t>
            </w:r>
            <w:r w:rsidR="00B91E8A" w:rsidRPr="00B65F3C">
              <w:rPr>
                <w:rFonts w:cs="Arial"/>
                <w:b/>
                <w:color w:val="333333"/>
                <w:vertAlign w:val="superscript"/>
                <w:lang w:val="en"/>
              </w:rPr>
              <w:t xml:space="preserve"> a</w:t>
            </w:r>
          </w:p>
        </w:tc>
        <w:tc>
          <w:tcPr>
            <w:tcW w:w="1276" w:type="dxa"/>
          </w:tcPr>
          <w:p w14:paraId="594862D6" w14:textId="3C918899" w:rsidR="00C87E84" w:rsidRPr="004C22EB" w:rsidRDefault="00C87E84" w:rsidP="009B1891">
            <w:pPr>
              <w:rPr>
                <w:rFonts w:cs="Arial"/>
                <w:sz w:val="20"/>
                <w:szCs w:val="20"/>
              </w:rPr>
            </w:pPr>
            <w:r w:rsidRPr="004C22EB">
              <w:rPr>
                <w:rFonts w:cs="Arial"/>
                <w:sz w:val="20"/>
                <w:szCs w:val="20"/>
              </w:rPr>
              <w:t xml:space="preserve">+0.02 </w:t>
            </w:r>
          </w:p>
          <w:p w14:paraId="490499F6" w14:textId="38757678" w:rsidR="00C87E84" w:rsidRPr="004C22EB" w:rsidRDefault="00C87E84" w:rsidP="009B1891">
            <w:pPr>
              <w:rPr>
                <w:rFonts w:cs="Arial"/>
                <w:sz w:val="20"/>
                <w:szCs w:val="20"/>
              </w:rPr>
            </w:pPr>
            <w:r w:rsidRPr="004C22EB">
              <w:rPr>
                <w:rFonts w:cs="Arial"/>
                <w:sz w:val="20"/>
                <w:szCs w:val="20"/>
              </w:rPr>
              <w:t>(-0.0</w:t>
            </w:r>
            <w:r w:rsidR="004D3AAF">
              <w:rPr>
                <w:rFonts w:cs="Arial"/>
                <w:sz w:val="20"/>
                <w:szCs w:val="20"/>
              </w:rPr>
              <w:t>3</w:t>
            </w:r>
            <w:r w:rsidRPr="004C22EB">
              <w:rPr>
                <w:rFonts w:cs="Arial"/>
                <w:sz w:val="20"/>
                <w:szCs w:val="20"/>
              </w:rPr>
              <w:t xml:space="preserve"> to </w:t>
            </w:r>
            <w:r w:rsidR="00290704">
              <w:rPr>
                <w:rFonts w:cs="Arial"/>
                <w:sz w:val="20"/>
                <w:szCs w:val="20"/>
              </w:rPr>
              <w:t>+</w:t>
            </w:r>
            <w:r w:rsidRPr="004C22EB">
              <w:rPr>
                <w:rFonts w:cs="Arial"/>
                <w:sz w:val="20"/>
                <w:szCs w:val="20"/>
              </w:rPr>
              <w:t>0.0</w:t>
            </w:r>
            <w:r w:rsidR="004D3AAF">
              <w:rPr>
                <w:rFonts w:cs="Arial"/>
                <w:sz w:val="20"/>
                <w:szCs w:val="20"/>
              </w:rPr>
              <w:t>7</w:t>
            </w:r>
            <w:r w:rsidRPr="004C22EB">
              <w:rPr>
                <w:rFonts w:cs="Arial"/>
                <w:sz w:val="20"/>
                <w:szCs w:val="20"/>
              </w:rPr>
              <w:t>)</w:t>
            </w:r>
          </w:p>
          <w:p w14:paraId="509353A0" w14:textId="77777777" w:rsidR="00C87E84" w:rsidRPr="004C22EB" w:rsidRDefault="00C87E84" w:rsidP="009B1891">
            <w:pPr>
              <w:rPr>
                <w:rFonts w:cs="Arial"/>
                <w:sz w:val="20"/>
                <w:szCs w:val="20"/>
              </w:rPr>
            </w:pPr>
          </w:p>
          <w:p w14:paraId="1E080446" w14:textId="77777777" w:rsidR="00B91E8A" w:rsidRDefault="00C87E84" w:rsidP="009B1891">
            <w:pPr>
              <w:rPr>
                <w:rFonts w:cs="Arial"/>
                <w:sz w:val="20"/>
                <w:szCs w:val="20"/>
              </w:rPr>
            </w:pPr>
            <w:r w:rsidRPr="004C22EB">
              <w:rPr>
                <w:rFonts w:cs="Arial"/>
                <w:sz w:val="20"/>
                <w:szCs w:val="20"/>
              </w:rPr>
              <w:t xml:space="preserve">New studies </w:t>
            </w:r>
          </w:p>
          <w:p w14:paraId="3EFBF21F" w14:textId="6FC9712F" w:rsidR="00C87E84" w:rsidRPr="004C22EB" w:rsidRDefault="00C87E84" w:rsidP="009B1891">
            <w:pPr>
              <w:rPr>
                <w:rFonts w:cs="Arial"/>
                <w:sz w:val="20"/>
                <w:szCs w:val="20"/>
              </w:rPr>
            </w:pPr>
            <w:r w:rsidRPr="004C22EB">
              <w:rPr>
                <w:rFonts w:cs="Arial"/>
                <w:sz w:val="20"/>
                <w:szCs w:val="20"/>
              </w:rPr>
              <w:t>only</w:t>
            </w:r>
            <w:r w:rsidR="00B91E8A" w:rsidRPr="00CD110C">
              <w:rPr>
                <w:rFonts w:cs="Arial"/>
                <w:b/>
                <w:i/>
                <w:color w:val="333333"/>
                <w:vertAlign w:val="superscript"/>
                <w:lang w:val="en"/>
              </w:rPr>
              <w:t xml:space="preserve"> </w:t>
            </w:r>
            <w:r w:rsidR="00B91E8A" w:rsidRPr="00B65F3C">
              <w:rPr>
                <w:rFonts w:cs="Arial"/>
                <w:b/>
                <w:color w:val="333333"/>
                <w:vertAlign w:val="superscript"/>
                <w:lang w:val="en"/>
              </w:rPr>
              <w:t>a</w:t>
            </w:r>
          </w:p>
        </w:tc>
      </w:tr>
      <w:tr w:rsidR="00290704" w:rsidRPr="004C22EB" w14:paraId="34053A72" w14:textId="77777777" w:rsidTr="00290704">
        <w:tc>
          <w:tcPr>
            <w:tcW w:w="1271" w:type="dxa"/>
            <w:vMerge/>
          </w:tcPr>
          <w:p w14:paraId="0EC924B6" w14:textId="77777777" w:rsidR="00C87E84" w:rsidRPr="004C22EB" w:rsidRDefault="00C87E84" w:rsidP="009B1891">
            <w:pPr>
              <w:rPr>
                <w:rFonts w:cs="Arial"/>
                <w:sz w:val="20"/>
                <w:szCs w:val="20"/>
              </w:rPr>
            </w:pPr>
          </w:p>
        </w:tc>
        <w:tc>
          <w:tcPr>
            <w:tcW w:w="1530" w:type="dxa"/>
            <w:vMerge/>
          </w:tcPr>
          <w:p w14:paraId="5592227F" w14:textId="77777777" w:rsidR="00C87E84" w:rsidRPr="004C22EB" w:rsidRDefault="00C87E84" w:rsidP="009B1891">
            <w:pPr>
              <w:rPr>
                <w:rFonts w:cs="Arial"/>
                <w:sz w:val="20"/>
                <w:szCs w:val="20"/>
              </w:rPr>
            </w:pPr>
          </w:p>
        </w:tc>
        <w:tc>
          <w:tcPr>
            <w:tcW w:w="1139" w:type="dxa"/>
            <w:vMerge/>
          </w:tcPr>
          <w:p w14:paraId="62424DCF" w14:textId="77777777" w:rsidR="00C87E84" w:rsidRPr="004C22EB" w:rsidRDefault="00C87E84" w:rsidP="009B1891">
            <w:pPr>
              <w:rPr>
                <w:rFonts w:cs="Arial"/>
                <w:sz w:val="20"/>
                <w:szCs w:val="20"/>
              </w:rPr>
            </w:pPr>
          </w:p>
        </w:tc>
        <w:tc>
          <w:tcPr>
            <w:tcW w:w="1428" w:type="dxa"/>
            <w:vMerge/>
          </w:tcPr>
          <w:p w14:paraId="24AFD8B7" w14:textId="77777777" w:rsidR="00C87E84" w:rsidRPr="004C22EB" w:rsidRDefault="00C87E84" w:rsidP="009B1891">
            <w:pPr>
              <w:rPr>
                <w:rFonts w:cs="Arial"/>
                <w:sz w:val="20"/>
                <w:szCs w:val="20"/>
              </w:rPr>
            </w:pPr>
          </w:p>
        </w:tc>
        <w:tc>
          <w:tcPr>
            <w:tcW w:w="1261" w:type="dxa"/>
          </w:tcPr>
          <w:p w14:paraId="0919A825" w14:textId="77777777" w:rsidR="00C87E84" w:rsidRPr="004C22EB" w:rsidRDefault="00C87E84" w:rsidP="009B1891">
            <w:pPr>
              <w:rPr>
                <w:rFonts w:cs="Arial"/>
                <w:sz w:val="20"/>
                <w:szCs w:val="20"/>
              </w:rPr>
            </w:pPr>
          </w:p>
          <w:p w14:paraId="385447BE" w14:textId="6D840917" w:rsidR="00C87E84" w:rsidRPr="004C22EB" w:rsidRDefault="00C87E84" w:rsidP="009B1891">
            <w:pPr>
              <w:rPr>
                <w:rFonts w:cs="Arial"/>
                <w:sz w:val="20"/>
                <w:szCs w:val="20"/>
              </w:rPr>
            </w:pPr>
            <w:r w:rsidRPr="004C22EB">
              <w:rPr>
                <w:rFonts w:cs="Arial"/>
                <w:sz w:val="20"/>
                <w:szCs w:val="20"/>
              </w:rPr>
              <w:t xml:space="preserve">+0.04 </w:t>
            </w:r>
          </w:p>
          <w:p w14:paraId="145115A0" w14:textId="045E20A2" w:rsidR="00C87E84" w:rsidRPr="004C22EB" w:rsidRDefault="00C87E84" w:rsidP="009B1891">
            <w:pPr>
              <w:rPr>
                <w:rFonts w:cs="Arial"/>
                <w:sz w:val="20"/>
                <w:szCs w:val="20"/>
              </w:rPr>
            </w:pPr>
            <w:r w:rsidRPr="004C22EB">
              <w:rPr>
                <w:rFonts w:cs="Arial"/>
                <w:sz w:val="20"/>
                <w:szCs w:val="20"/>
              </w:rPr>
              <w:t>(</w:t>
            </w:r>
            <w:r w:rsidR="00290704">
              <w:rPr>
                <w:rFonts w:cs="Arial"/>
                <w:sz w:val="20"/>
                <w:szCs w:val="20"/>
              </w:rPr>
              <w:t>+</w:t>
            </w:r>
            <w:r w:rsidRPr="004C22EB">
              <w:rPr>
                <w:rFonts w:cs="Arial"/>
                <w:sz w:val="20"/>
                <w:szCs w:val="20"/>
              </w:rPr>
              <w:t>0.0</w:t>
            </w:r>
            <w:r w:rsidR="004D3AAF">
              <w:rPr>
                <w:rFonts w:cs="Arial"/>
                <w:sz w:val="20"/>
                <w:szCs w:val="20"/>
              </w:rPr>
              <w:t>3</w:t>
            </w:r>
            <w:r w:rsidRPr="004C22EB">
              <w:rPr>
                <w:rFonts w:cs="Arial"/>
                <w:sz w:val="20"/>
                <w:szCs w:val="20"/>
              </w:rPr>
              <w:t xml:space="preserve"> to </w:t>
            </w:r>
            <w:r w:rsidR="00290704">
              <w:rPr>
                <w:rFonts w:cs="Arial"/>
                <w:sz w:val="20"/>
                <w:szCs w:val="20"/>
              </w:rPr>
              <w:t>+</w:t>
            </w:r>
            <w:r w:rsidRPr="004C22EB">
              <w:rPr>
                <w:rFonts w:cs="Arial"/>
                <w:sz w:val="20"/>
                <w:szCs w:val="20"/>
              </w:rPr>
              <w:t>0.06)</w:t>
            </w:r>
          </w:p>
          <w:p w14:paraId="05B74730" w14:textId="77777777" w:rsidR="00C87E84" w:rsidRPr="004C22EB" w:rsidRDefault="00C87E84" w:rsidP="009B1891">
            <w:pPr>
              <w:rPr>
                <w:rFonts w:cs="Arial"/>
                <w:sz w:val="20"/>
                <w:szCs w:val="20"/>
              </w:rPr>
            </w:pPr>
          </w:p>
          <w:p w14:paraId="6332A86B" w14:textId="407F28BA" w:rsidR="00C87E84" w:rsidRPr="004C22EB" w:rsidRDefault="00C87E84" w:rsidP="009B1891">
            <w:pPr>
              <w:rPr>
                <w:rFonts w:cs="Arial"/>
                <w:sz w:val="20"/>
                <w:szCs w:val="20"/>
              </w:rPr>
            </w:pPr>
            <w:r w:rsidRPr="004C22EB">
              <w:rPr>
                <w:rFonts w:cs="Arial"/>
                <w:sz w:val="20"/>
                <w:szCs w:val="20"/>
              </w:rPr>
              <w:t>Including relevant</w:t>
            </w:r>
            <w:r w:rsidR="00B91E8A" w:rsidRPr="00CD110C">
              <w:rPr>
                <w:rFonts w:cs="Arial"/>
                <w:b/>
                <w:i/>
                <w:color w:val="333333"/>
                <w:vertAlign w:val="superscript"/>
                <w:lang w:val="en"/>
              </w:rPr>
              <w:t xml:space="preserve"> </w:t>
            </w:r>
            <w:r w:rsidR="00B91E8A" w:rsidRPr="00B65F3C">
              <w:rPr>
                <w:rFonts w:cs="Arial"/>
                <w:b/>
                <w:color w:val="333333"/>
                <w:vertAlign w:val="superscript"/>
                <w:lang w:val="en"/>
              </w:rPr>
              <w:t>b</w:t>
            </w:r>
            <w:r w:rsidRPr="00B65F3C">
              <w:rPr>
                <w:rFonts w:cs="Arial"/>
                <w:sz w:val="20"/>
                <w:szCs w:val="20"/>
              </w:rPr>
              <w:t xml:space="preserve"> </w:t>
            </w:r>
            <w:r w:rsidRPr="004C22EB">
              <w:rPr>
                <w:rFonts w:cs="Arial"/>
                <w:sz w:val="20"/>
                <w:szCs w:val="20"/>
              </w:rPr>
              <w:t xml:space="preserve">studies from </w:t>
            </w:r>
            <w:proofErr w:type="spellStart"/>
            <w:r w:rsidRPr="004C22EB">
              <w:rPr>
                <w:rFonts w:cs="Arial"/>
                <w:sz w:val="20"/>
                <w:szCs w:val="20"/>
              </w:rPr>
              <w:t>Brouwer</w:t>
            </w:r>
            <w:proofErr w:type="spellEnd"/>
            <w:r w:rsidRPr="004C22EB">
              <w:rPr>
                <w:rFonts w:cs="Arial"/>
                <w:sz w:val="20"/>
                <w:szCs w:val="20"/>
              </w:rPr>
              <w:t xml:space="preserve"> et al</w:t>
            </w:r>
            <w:r w:rsidR="00B91E8A">
              <w:rPr>
                <w:rFonts w:cs="Arial"/>
                <w:sz w:val="20"/>
                <w:szCs w:val="20"/>
              </w:rPr>
              <w:t>.</w:t>
            </w:r>
          </w:p>
        </w:tc>
        <w:tc>
          <w:tcPr>
            <w:tcW w:w="1134" w:type="dxa"/>
          </w:tcPr>
          <w:p w14:paraId="2974029D" w14:textId="77777777" w:rsidR="00C87E84" w:rsidRPr="004C22EB" w:rsidRDefault="00C87E84" w:rsidP="009B1891">
            <w:pPr>
              <w:rPr>
                <w:rFonts w:cs="Arial"/>
                <w:sz w:val="20"/>
                <w:szCs w:val="20"/>
              </w:rPr>
            </w:pPr>
          </w:p>
          <w:p w14:paraId="62951088" w14:textId="5498DA33" w:rsidR="00C87E84" w:rsidRPr="004C22EB" w:rsidRDefault="00C87E84" w:rsidP="009B1891">
            <w:pPr>
              <w:rPr>
                <w:rFonts w:cs="Arial"/>
                <w:sz w:val="20"/>
                <w:szCs w:val="20"/>
              </w:rPr>
            </w:pPr>
            <w:r w:rsidRPr="004C22EB">
              <w:rPr>
                <w:rFonts w:cs="Arial"/>
                <w:sz w:val="20"/>
                <w:szCs w:val="20"/>
              </w:rPr>
              <w:t xml:space="preserve">-0.01 </w:t>
            </w:r>
          </w:p>
          <w:p w14:paraId="0BA826E6" w14:textId="379DB6AA" w:rsidR="00C87E84" w:rsidRPr="004C22EB" w:rsidRDefault="00C87E84" w:rsidP="009B1891">
            <w:pPr>
              <w:rPr>
                <w:rFonts w:cs="Arial"/>
                <w:sz w:val="20"/>
                <w:szCs w:val="20"/>
              </w:rPr>
            </w:pPr>
            <w:r w:rsidRPr="004C22EB">
              <w:rPr>
                <w:rFonts w:cs="Arial"/>
                <w:sz w:val="20"/>
                <w:szCs w:val="20"/>
              </w:rPr>
              <w:t>(-0.0</w:t>
            </w:r>
            <w:r w:rsidR="004D3AAF">
              <w:rPr>
                <w:rFonts w:cs="Arial"/>
                <w:sz w:val="20"/>
                <w:szCs w:val="20"/>
              </w:rPr>
              <w:t>3</w:t>
            </w:r>
            <w:r w:rsidRPr="004C22EB">
              <w:rPr>
                <w:rFonts w:cs="Arial"/>
                <w:sz w:val="20"/>
                <w:szCs w:val="20"/>
              </w:rPr>
              <w:t xml:space="preserve"> to </w:t>
            </w:r>
            <w:r w:rsidR="00290704">
              <w:rPr>
                <w:rFonts w:cs="Arial"/>
                <w:sz w:val="20"/>
                <w:szCs w:val="20"/>
              </w:rPr>
              <w:t>+</w:t>
            </w:r>
            <w:r w:rsidRPr="004C22EB">
              <w:rPr>
                <w:rFonts w:cs="Arial"/>
                <w:sz w:val="20"/>
                <w:szCs w:val="20"/>
              </w:rPr>
              <w:t>0.0</w:t>
            </w:r>
            <w:r w:rsidR="004D3AAF">
              <w:rPr>
                <w:rFonts w:cs="Arial"/>
                <w:sz w:val="20"/>
                <w:szCs w:val="20"/>
              </w:rPr>
              <w:t>1</w:t>
            </w:r>
            <w:r w:rsidRPr="004C22EB">
              <w:rPr>
                <w:rFonts w:cs="Arial"/>
                <w:sz w:val="20"/>
                <w:szCs w:val="20"/>
              </w:rPr>
              <w:t>)</w:t>
            </w:r>
          </w:p>
          <w:p w14:paraId="4CE8F1D6" w14:textId="77777777" w:rsidR="00C87E84" w:rsidRPr="004C22EB" w:rsidRDefault="00C87E84" w:rsidP="009B1891">
            <w:pPr>
              <w:rPr>
                <w:rFonts w:cs="Arial"/>
                <w:sz w:val="20"/>
                <w:szCs w:val="20"/>
              </w:rPr>
            </w:pPr>
          </w:p>
          <w:p w14:paraId="1F9285FF" w14:textId="2D2FB721" w:rsidR="00C87E84" w:rsidRPr="004C22EB" w:rsidRDefault="00C87E84" w:rsidP="009B1891">
            <w:pPr>
              <w:rPr>
                <w:rFonts w:cs="Arial"/>
                <w:sz w:val="20"/>
                <w:szCs w:val="20"/>
              </w:rPr>
            </w:pPr>
            <w:r w:rsidRPr="004C22EB">
              <w:rPr>
                <w:rFonts w:cs="Arial"/>
                <w:sz w:val="20"/>
                <w:szCs w:val="20"/>
              </w:rPr>
              <w:t>Including relevant</w:t>
            </w:r>
            <w:r w:rsidR="00B91E8A" w:rsidRPr="00B65F3C">
              <w:rPr>
                <w:rFonts w:cs="Arial"/>
                <w:b/>
                <w:color w:val="333333"/>
                <w:vertAlign w:val="superscript"/>
                <w:lang w:val="en"/>
              </w:rPr>
              <w:t xml:space="preserve"> b</w:t>
            </w:r>
            <w:r w:rsidR="00B91E8A">
              <w:rPr>
                <w:rFonts w:cs="Arial"/>
                <w:b/>
                <w:i/>
                <w:color w:val="333333"/>
                <w:vertAlign w:val="superscript"/>
                <w:lang w:val="en"/>
              </w:rPr>
              <w:t xml:space="preserve"> </w:t>
            </w:r>
            <w:r w:rsidRPr="004C22EB">
              <w:rPr>
                <w:rFonts w:cs="Arial"/>
                <w:sz w:val="20"/>
                <w:szCs w:val="20"/>
              </w:rPr>
              <w:t xml:space="preserve">studies from </w:t>
            </w:r>
            <w:proofErr w:type="spellStart"/>
            <w:r w:rsidRPr="004C22EB">
              <w:rPr>
                <w:rFonts w:cs="Arial"/>
                <w:sz w:val="20"/>
                <w:szCs w:val="20"/>
              </w:rPr>
              <w:t>Brouwer</w:t>
            </w:r>
            <w:proofErr w:type="spellEnd"/>
            <w:r w:rsidRPr="004C22EB">
              <w:rPr>
                <w:rFonts w:cs="Arial"/>
                <w:sz w:val="20"/>
                <w:szCs w:val="20"/>
              </w:rPr>
              <w:t xml:space="preserve"> et al</w:t>
            </w:r>
            <w:r w:rsidR="00B91E8A">
              <w:rPr>
                <w:rFonts w:cs="Arial"/>
                <w:sz w:val="20"/>
                <w:szCs w:val="20"/>
              </w:rPr>
              <w:t>.</w:t>
            </w:r>
          </w:p>
        </w:tc>
        <w:tc>
          <w:tcPr>
            <w:tcW w:w="1276" w:type="dxa"/>
          </w:tcPr>
          <w:p w14:paraId="532B46A7" w14:textId="77777777" w:rsidR="00C87E84" w:rsidRPr="004C22EB" w:rsidRDefault="00C87E84" w:rsidP="009B1891">
            <w:pPr>
              <w:rPr>
                <w:rFonts w:cs="Arial"/>
                <w:sz w:val="20"/>
                <w:szCs w:val="20"/>
              </w:rPr>
            </w:pPr>
          </w:p>
          <w:p w14:paraId="3E42454B" w14:textId="77777777" w:rsidR="00C87E84" w:rsidRPr="004C22EB" w:rsidRDefault="00C87E84" w:rsidP="009B1891">
            <w:pPr>
              <w:rPr>
                <w:rFonts w:cs="Arial"/>
                <w:sz w:val="20"/>
                <w:szCs w:val="20"/>
              </w:rPr>
            </w:pPr>
          </w:p>
          <w:p w14:paraId="0F6912CF" w14:textId="77777777" w:rsidR="00C87E84" w:rsidRPr="004C22EB" w:rsidRDefault="00C87E84" w:rsidP="009B1891">
            <w:pPr>
              <w:rPr>
                <w:rFonts w:cs="Arial"/>
                <w:sz w:val="20"/>
                <w:szCs w:val="20"/>
              </w:rPr>
            </w:pPr>
          </w:p>
          <w:p w14:paraId="4D034A64" w14:textId="77777777" w:rsidR="00C87E84" w:rsidRPr="004C22EB" w:rsidRDefault="00C87E84" w:rsidP="009B1891">
            <w:pPr>
              <w:rPr>
                <w:rFonts w:cs="Arial"/>
                <w:sz w:val="20"/>
                <w:szCs w:val="20"/>
              </w:rPr>
            </w:pPr>
          </w:p>
          <w:p w14:paraId="1249CB34" w14:textId="553F0277" w:rsidR="00C87E84" w:rsidRPr="004C22EB" w:rsidRDefault="00AF12D0" w:rsidP="009B1891">
            <w:pPr>
              <w:rPr>
                <w:rFonts w:cs="Arial"/>
                <w:sz w:val="20"/>
                <w:szCs w:val="20"/>
              </w:rPr>
            </w:pPr>
            <w:r w:rsidRPr="004C22EB">
              <w:rPr>
                <w:rFonts w:cs="Arial"/>
                <w:sz w:val="20"/>
                <w:szCs w:val="20"/>
              </w:rPr>
              <w:t>Not applicable</w:t>
            </w:r>
          </w:p>
        </w:tc>
      </w:tr>
    </w:tbl>
    <w:p w14:paraId="479FF5DD" w14:textId="5E70890D" w:rsidR="00C87E84" w:rsidRPr="004C22EB" w:rsidRDefault="00B91E8A" w:rsidP="00C87E84">
      <w:pPr>
        <w:rPr>
          <w:rFonts w:cs="Arial"/>
          <w:sz w:val="16"/>
          <w:szCs w:val="16"/>
        </w:rPr>
      </w:pPr>
      <w:proofErr w:type="gramStart"/>
      <w:r w:rsidRPr="00B65F3C">
        <w:rPr>
          <w:rFonts w:cs="Arial"/>
          <w:b/>
          <w:color w:val="333333"/>
          <w:vertAlign w:val="superscript"/>
          <w:lang w:val="en"/>
        </w:rPr>
        <w:t>a</w:t>
      </w:r>
      <w:proofErr w:type="gramEnd"/>
      <w:r w:rsidR="00C87E84" w:rsidRPr="00B65F3C">
        <w:rPr>
          <w:rFonts w:cs="Arial"/>
          <w:sz w:val="16"/>
          <w:szCs w:val="16"/>
        </w:rPr>
        <w:t xml:space="preserve"> </w:t>
      </w:r>
      <w:r w:rsidR="00C87E84" w:rsidRPr="004C22EB">
        <w:rPr>
          <w:rFonts w:cs="Arial"/>
          <w:sz w:val="16"/>
          <w:szCs w:val="16"/>
        </w:rPr>
        <w:t xml:space="preserve">Wanders </w:t>
      </w:r>
      <w:r w:rsidR="00433834">
        <w:rPr>
          <w:rFonts w:cs="Arial"/>
          <w:sz w:val="16"/>
          <w:szCs w:val="16"/>
        </w:rPr>
        <w:t>et al.</w:t>
      </w:r>
      <w:r w:rsidR="00D66A4F">
        <w:rPr>
          <w:rFonts w:cs="Arial"/>
          <w:sz w:val="16"/>
          <w:szCs w:val="16"/>
        </w:rPr>
        <w:t xml:space="preserve"> </w:t>
      </w:r>
      <w:r w:rsidR="00C87E84" w:rsidRPr="004C22EB">
        <w:rPr>
          <w:rFonts w:cs="Arial"/>
          <w:sz w:val="16"/>
          <w:szCs w:val="16"/>
        </w:rPr>
        <w:t xml:space="preserve">was published early in 2010 and was included in </w:t>
      </w:r>
      <w:proofErr w:type="spellStart"/>
      <w:r w:rsidR="00C87E84" w:rsidRPr="004C22EB">
        <w:rPr>
          <w:rFonts w:cs="Arial"/>
          <w:sz w:val="16"/>
          <w:szCs w:val="16"/>
        </w:rPr>
        <w:t>Brouwer</w:t>
      </w:r>
      <w:proofErr w:type="spellEnd"/>
      <w:r w:rsidR="00C87E84" w:rsidRPr="004C22EB">
        <w:rPr>
          <w:rFonts w:cs="Arial"/>
          <w:sz w:val="16"/>
          <w:szCs w:val="16"/>
        </w:rPr>
        <w:t xml:space="preserve"> </w:t>
      </w:r>
      <w:r w:rsidR="00433834">
        <w:rPr>
          <w:rFonts w:cs="Arial"/>
          <w:sz w:val="16"/>
          <w:szCs w:val="16"/>
        </w:rPr>
        <w:t>et al.</w:t>
      </w:r>
      <w:r w:rsidR="00C87E84" w:rsidRPr="004C22EB">
        <w:rPr>
          <w:rFonts w:cs="Arial"/>
          <w:sz w:val="16"/>
          <w:szCs w:val="16"/>
        </w:rPr>
        <w:t xml:space="preserve">(2010); hence it was excluded in the new studies grouping for LDL-C and HDL-C, but was included in the summary of total-C which had not been analysed by </w:t>
      </w:r>
      <w:proofErr w:type="spellStart"/>
      <w:r w:rsidR="00C87E84" w:rsidRPr="004C22EB">
        <w:rPr>
          <w:rFonts w:cs="Arial"/>
          <w:sz w:val="16"/>
          <w:szCs w:val="16"/>
        </w:rPr>
        <w:t>Brouwer</w:t>
      </w:r>
      <w:proofErr w:type="spellEnd"/>
      <w:r w:rsidR="00C87E84" w:rsidRPr="004C22EB">
        <w:rPr>
          <w:rFonts w:cs="Arial"/>
          <w:sz w:val="16"/>
          <w:szCs w:val="16"/>
        </w:rPr>
        <w:t xml:space="preserve"> et al. Hence the analysis for total C includes one study more than the analyses for LDL-C and HDL-C</w:t>
      </w:r>
      <w:r w:rsidR="00202CF8">
        <w:rPr>
          <w:rFonts w:cs="Arial"/>
          <w:sz w:val="16"/>
          <w:szCs w:val="16"/>
        </w:rPr>
        <w:t xml:space="preserve">. </w:t>
      </w:r>
      <w:r w:rsidR="00D76DF7">
        <w:rPr>
          <w:rFonts w:cs="Arial"/>
          <w:sz w:val="16"/>
          <w:szCs w:val="16"/>
        </w:rPr>
        <w:t xml:space="preserve">Note also that the study using CLA by </w:t>
      </w:r>
      <w:proofErr w:type="spellStart"/>
      <w:r w:rsidR="00D76DF7">
        <w:rPr>
          <w:rFonts w:cs="Arial"/>
          <w:sz w:val="16"/>
          <w:szCs w:val="16"/>
        </w:rPr>
        <w:t>Naumann</w:t>
      </w:r>
      <w:proofErr w:type="spellEnd"/>
      <w:r w:rsidR="00D76DF7">
        <w:rPr>
          <w:rFonts w:cs="Arial"/>
          <w:sz w:val="16"/>
          <w:szCs w:val="16"/>
        </w:rPr>
        <w:t xml:space="preserve"> </w:t>
      </w:r>
      <w:r w:rsidR="00433834">
        <w:rPr>
          <w:rFonts w:cs="Arial"/>
          <w:sz w:val="16"/>
          <w:szCs w:val="16"/>
        </w:rPr>
        <w:t>et al.</w:t>
      </w:r>
      <w:r w:rsidR="00D76DF7">
        <w:rPr>
          <w:rFonts w:cs="Arial"/>
          <w:sz w:val="16"/>
          <w:szCs w:val="16"/>
        </w:rPr>
        <w:t xml:space="preserve">(2006) was included in the </w:t>
      </w:r>
      <w:proofErr w:type="spellStart"/>
      <w:r w:rsidR="00D76DF7">
        <w:rPr>
          <w:rFonts w:cs="Arial"/>
          <w:sz w:val="16"/>
          <w:szCs w:val="16"/>
        </w:rPr>
        <w:t>Brouwer</w:t>
      </w:r>
      <w:proofErr w:type="spellEnd"/>
      <w:r w:rsidR="00D76DF7">
        <w:rPr>
          <w:rFonts w:cs="Arial"/>
          <w:sz w:val="16"/>
          <w:szCs w:val="16"/>
        </w:rPr>
        <w:t xml:space="preserve"> </w:t>
      </w:r>
      <w:r w:rsidR="00433834">
        <w:rPr>
          <w:rFonts w:cs="Arial"/>
          <w:sz w:val="16"/>
          <w:szCs w:val="16"/>
        </w:rPr>
        <w:t>et al.</w:t>
      </w:r>
      <w:r w:rsidR="00D76DF7">
        <w:rPr>
          <w:rFonts w:cs="Arial"/>
          <w:sz w:val="16"/>
          <w:szCs w:val="16"/>
        </w:rPr>
        <w:t xml:space="preserve">(2010) review but is shown as a separate line of data in the ECU updated analysis because, as described by </w:t>
      </w:r>
      <w:proofErr w:type="spellStart"/>
      <w:r w:rsidR="00D76DF7">
        <w:rPr>
          <w:rFonts w:cs="Arial"/>
          <w:sz w:val="16"/>
          <w:szCs w:val="16"/>
        </w:rPr>
        <w:t>Hafekost</w:t>
      </w:r>
      <w:proofErr w:type="spellEnd"/>
      <w:r w:rsidR="00D76DF7">
        <w:rPr>
          <w:rFonts w:cs="Arial"/>
          <w:sz w:val="16"/>
          <w:szCs w:val="16"/>
        </w:rPr>
        <w:t xml:space="preserve"> </w:t>
      </w:r>
      <w:r w:rsidR="00433834">
        <w:rPr>
          <w:rFonts w:cs="Arial"/>
          <w:sz w:val="16"/>
          <w:szCs w:val="16"/>
        </w:rPr>
        <w:t>et al.</w:t>
      </w:r>
      <w:r w:rsidR="00D76DF7">
        <w:rPr>
          <w:rFonts w:cs="Arial"/>
          <w:sz w:val="16"/>
          <w:szCs w:val="16"/>
        </w:rPr>
        <w:t>(2014) this was the only CLA study that met the inclusion criteria for  the current review</w:t>
      </w:r>
    </w:p>
    <w:p w14:paraId="5C8B6B0C" w14:textId="0FDFB348" w:rsidR="001C59FC" w:rsidRDefault="00B91E8A" w:rsidP="001C59FC">
      <w:pPr>
        <w:rPr>
          <w:rFonts w:cs="Arial"/>
          <w:sz w:val="16"/>
          <w:szCs w:val="16"/>
        </w:rPr>
      </w:pPr>
      <w:proofErr w:type="gramStart"/>
      <w:r w:rsidRPr="00B65F3C">
        <w:rPr>
          <w:rFonts w:cs="Arial"/>
          <w:b/>
          <w:color w:val="333333"/>
          <w:vertAlign w:val="superscript"/>
          <w:lang w:val="en"/>
        </w:rPr>
        <w:t>b</w:t>
      </w:r>
      <w:proofErr w:type="gramEnd"/>
      <w:r w:rsidR="00C87E84" w:rsidRPr="00B65F3C">
        <w:rPr>
          <w:rFonts w:cs="Arial"/>
          <w:sz w:val="16"/>
          <w:szCs w:val="16"/>
        </w:rPr>
        <w:t xml:space="preserve"> </w:t>
      </w:r>
      <w:r w:rsidR="00C87E84" w:rsidRPr="004C22EB">
        <w:rPr>
          <w:rFonts w:cs="Arial"/>
          <w:sz w:val="16"/>
          <w:szCs w:val="16"/>
        </w:rPr>
        <w:t xml:space="preserve">studies relevant to the current purpose, studies included in </w:t>
      </w:r>
      <w:proofErr w:type="spellStart"/>
      <w:r w:rsidR="00C87E84" w:rsidRPr="004C22EB">
        <w:rPr>
          <w:rFonts w:cs="Arial"/>
          <w:sz w:val="16"/>
          <w:szCs w:val="16"/>
        </w:rPr>
        <w:t>Brouwer</w:t>
      </w:r>
      <w:proofErr w:type="spellEnd"/>
      <w:r w:rsidR="00C87E84" w:rsidRPr="004C22EB">
        <w:rPr>
          <w:rFonts w:cs="Arial"/>
          <w:sz w:val="16"/>
          <w:szCs w:val="16"/>
        </w:rPr>
        <w:t xml:space="preserve"> </w:t>
      </w:r>
      <w:r w:rsidR="00433834">
        <w:rPr>
          <w:rFonts w:cs="Arial"/>
          <w:sz w:val="16"/>
          <w:szCs w:val="16"/>
        </w:rPr>
        <w:t>et al.</w:t>
      </w:r>
      <w:r w:rsidR="00C87E84" w:rsidRPr="004C22EB">
        <w:rPr>
          <w:rFonts w:cs="Arial"/>
          <w:sz w:val="16"/>
          <w:szCs w:val="16"/>
        </w:rPr>
        <w:t>(2010) that used mixed CLA isomers were excluded</w:t>
      </w:r>
    </w:p>
    <w:p w14:paraId="45746460" w14:textId="77777777" w:rsidR="00202CF8" w:rsidRPr="00791F68" w:rsidRDefault="00202CF8" w:rsidP="001C59FC">
      <w:pPr>
        <w:rPr>
          <w:rFonts w:cs="Arial"/>
          <w:sz w:val="16"/>
          <w:szCs w:val="16"/>
        </w:rPr>
      </w:pPr>
    </w:p>
    <w:p w14:paraId="6C0F0255" w14:textId="00D0170E" w:rsidR="001C59FC" w:rsidRPr="004C22EB" w:rsidRDefault="00081048" w:rsidP="00A167FD">
      <w:pPr>
        <w:pStyle w:val="Heading2"/>
      </w:pPr>
      <w:bookmarkStart w:id="14" w:name="_Toc487100081"/>
      <w:r w:rsidRPr="004C22EB">
        <w:t>R</w:t>
      </w:r>
      <w:r w:rsidR="001C59FC" w:rsidRPr="004C22EB">
        <w:t>elationship with total</w:t>
      </w:r>
      <w:r w:rsidR="00D66A4F">
        <w:t>-C</w:t>
      </w:r>
      <w:bookmarkEnd w:id="14"/>
      <w:r w:rsidR="001C59FC" w:rsidRPr="004C22EB">
        <w:t xml:space="preserve"> </w:t>
      </w:r>
    </w:p>
    <w:p w14:paraId="2BD79F20" w14:textId="19164988" w:rsidR="001C59FC" w:rsidRPr="004C22EB" w:rsidRDefault="001C59FC" w:rsidP="001C59FC">
      <w:pPr>
        <w:rPr>
          <w:rFonts w:cs="Arial"/>
        </w:rPr>
      </w:pPr>
      <w:r w:rsidRPr="004C22EB">
        <w:rPr>
          <w:rFonts w:cs="Arial"/>
        </w:rPr>
        <w:t xml:space="preserve">Table 3 shows that the two earlier reviews described the effect of </w:t>
      </w:r>
      <w:proofErr w:type="spellStart"/>
      <w:r w:rsidRPr="004C22EB">
        <w:rPr>
          <w:rFonts w:cs="Arial"/>
        </w:rPr>
        <w:t>isoenergic</w:t>
      </w:r>
      <w:proofErr w:type="spellEnd"/>
      <w:r w:rsidRPr="004C22EB">
        <w:rPr>
          <w:rFonts w:cs="Arial"/>
        </w:rPr>
        <w:t xml:space="preserve"> exchange of TFA on tota</w:t>
      </w:r>
      <w:r w:rsidR="00D66A4F">
        <w:rPr>
          <w:rFonts w:cs="Arial"/>
        </w:rPr>
        <w:t>l-C</w:t>
      </w:r>
      <w:r w:rsidRPr="004C22EB">
        <w:rPr>
          <w:rFonts w:cs="Arial"/>
        </w:rPr>
        <w:t xml:space="preserve"> concentrations, but </w:t>
      </w:r>
      <w:proofErr w:type="spellStart"/>
      <w:r w:rsidRPr="004C22EB">
        <w:rPr>
          <w:rFonts w:cs="Arial"/>
        </w:rPr>
        <w:t>Brouwer</w:t>
      </w:r>
      <w:proofErr w:type="spellEnd"/>
      <w:r w:rsidRPr="004C22EB">
        <w:rPr>
          <w:rFonts w:cs="Arial"/>
        </w:rPr>
        <w:t xml:space="preserve"> et al</w:t>
      </w:r>
      <w:r w:rsidR="004B39B8">
        <w:rPr>
          <w:rFonts w:cs="Arial"/>
        </w:rPr>
        <w:t>.</w:t>
      </w:r>
      <w:r w:rsidRPr="004C22EB">
        <w:rPr>
          <w:rFonts w:cs="Arial"/>
        </w:rPr>
        <w:t xml:space="preserve"> (2010) did not because their focus was on the ratio of LDL-C and HDL-C. None of the reviews provide individual data points for the studies included in their analyses.</w:t>
      </w:r>
    </w:p>
    <w:p w14:paraId="0A004F11" w14:textId="77777777" w:rsidR="001C59FC" w:rsidRPr="004C22EB" w:rsidRDefault="001C59FC" w:rsidP="001C59FC">
      <w:pPr>
        <w:rPr>
          <w:rFonts w:cs="Arial"/>
        </w:rPr>
      </w:pPr>
    </w:p>
    <w:p w14:paraId="48E5FABE" w14:textId="731F2F6A" w:rsidR="001C59FC" w:rsidRPr="004C22EB" w:rsidRDefault="001C59FC" w:rsidP="001C59FC">
      <w:pPr>
        <w:rPr>
          <w:rFonts w:cs="Arial"/>
        </w:rPr>
      </w:pPr>
      <w:r w:rsidRPr="004C22EB">
        <w:rPr>
          <w:rFonts w:cs="Arial"/>
        </w:rPr>
        <w:t>All reviews agree that the effect of TFA</w:t>
      </w:r>
      <w:r w:rsidR="004B39B8">
        <w:rPr>
          <w:rFonts w:cs="Arial"/>
        </w:rPr>
        <w:t>s</w:t>
      </w:r>
      <w:r w:rsidRPr="004C22EB">
        <w:rPr>
          <w:rFonts w:cs="Arial"/>
        </w:rPr>
        <w:t xml:space="preserve"> on LDL-C when all studies are combined is approximately +0.04</w:t>
      </w:r>
      <w:r w:rsidR="000B5227">
        <w:rPr>
          <w:rFonts w:cs="Arial"/>
        </w:rPr>
        <w:t xml:space="preserve"> </w:t>
      </w:r>
      <w:proofErr w:type="spellStart"/>
      <w:r w:rsidRPr="004C22EB">
        <w:rPr>
          <w:rFonts w:cs="Arial"/>
        </w:rPr>
        <w:t>mmol</w:t>
      </w:r>
      <w:proofErr w:type="spellEnd"/>
      <w:r w:rsidRPr="004C22EB">
        <w:rPr>
          <w:rFonts w:cs="Arial"/>
        </w:rPr>
        <w:t xml:space="preserve">/L per 1% increase in </w:t>
      </w:r>
      <w:r w:rsidR="00F97215">
        <w:rPr>
          <w:rFonts w:cs="Arial"/>
        </w:rPr>
        <w:t xml:space="preserve">energy from </w:t>
      </w:r>
      <w:r w:rsidRPr="004C22EB">
        <w:rPr>
          <w:rFonts w:cs="Arial"/>
        </w:rPr>
        <w:t>TFA</w:t>
      </w:r>
      <w:r w:rsidR="004B39B8">
        <w:rPr>
          <w:rFonts w:cs="Arial"/>
        </w:rPr>
        <w:t>s</w:t>
      </w:r>
      <w:r w:rsidRPr="004C22EB">
        <w:rPr>
          <w:rFonts w:cs="Arial"/>
        </w:rPr>
        <w:t xml:space="preserve"> in exchange for carbohydrate/cis</w:t>
      </w:r>
      <w:r w:rsidR="000B5227">
        <w:rPr>
          <w:rFonts w:cs="Arial"/>
        </w:rPr>
        <w:t>-</w:t>
      </w:r>
      <w:r w:rsidRPr="004C22EB">
        <w:rPr>
          <w:rFonts w:cs="Arial"/>
        </w:rPr>
        <w:t xml:space="preserve">MUFA. Reviews that have examined total-C show the change in total-C mirrors the change in LDL-C in direction but not necessarily in magnitude. The two earlier reviews show that the magnitude of effect on HDL-C is about one quarter of the magnitude of </w:t>
      </w:r>
      <w:r w:rsidRPr="004C22EB">
        <w:rPr>
          <w:rFonts w:cs="Arial"/>
        </w:rPr>
        <w:lastRenderedPageBreak/>
        <w:t xml:space="preserve">effect on LDL-C. Most of total-C is LDL-C and HDL-C and the reminder (e.g. very low density lipoprotein cholesterol) is small. Table 2 shows that the effect on mean total-C is very similar to that which might be calculated by subtracting the mean effect on HDL-C from the mean effect on LDL-C in the reviews that have done all three analyses. </w:t>
      </w:r>
    </w:p>
    <w:p w14:paraId="39D13460" w14:textId="77777777" w:rsidR="001C59FC" w:rsidRPr="004C22EB" w:rsidRDefault="001C59FC" w:rsidP="001C59FC">
      <w:pPr>
        <w:rPr>
          <w:rFonts w:cs="Arial"/>
        </w:rPr>
      </w:pPr>
    </w:p>
    <w:p w14:paraId="5EDBA4CF" w14:textId="0E6AF111" w:rsidR="00DB6F85" w:rsidRPr="00DB6F85" w:rsidRDefault="004B39B8" w:rsidP="00DB6F85">
      <w:pPr>
        <w:rPr>
          <w:rFonts w:cs="Arial"/>
        </w:rPr>
      </w:pPr>
      <w:r w:rsidRPr="00DB6F85">
        <w:rPr>
          <w:rFonts w:cs="Arial"/>
        </w:rPr>
        <w:t>FSANZ considers that the GRADE rating of the TFA-total-C relationship of ‘Moderate‘</w:t>
      </w:r>
      <w:r w:rsidR="00DB6F85" w:rsidRPr="00DB6F85">
        <w:rPr>
          <w:rFonts w:cs="Arial"/>
        </w:rPr>
        <w:t xml:space="preserve"> </w:t>
      </w:r>
      <w:r w:rsidRPr="00DB6F85">
        <w:rPr>
          <w:rFonts w:cs="Arial"/>
        </w:rPr>
        <w:t xml:space="preserve">suggested by the ECU review authors (which is based solely on studies published from 2010 onwards) can be increased to ‘High’  </w:t>
      </w:r>
      <w:r w:rsidR="00564C28">
        <w:rPr>
          <w:rFonts w:cs="Arial"/>
        </w:rPr>
        <w:t xml:space="preserve">(Appendix 1) </w:t>
      </w:r>
      <w:r w:rsidRPr="00DB6F85">
        <w:rPr>
          <w:rFonts w:cs="Arial"/>
        </w:rPr>
        <w:t>for the following reasons:</w:t>
      </w:r>
    </w:p>
    <w:p w14:paraId="201446C3" w14:textId="4AF6116C" w:rsidR="001C59FC" w:rsidRPr="004C22EB" w:rsidRDefault="001C59FC" w:rsidP="004B39B8">
      <w:pPr>
        <w:pStyle w:val="ListParagraph"/>
        <w:numPr>
          <w:ilvl w:val="0"/>
          <w:numId w:val="34"/>
        </w:numPr>
        <w:ind w:left="567" w:hanging="567"/>
        <w:rPr>
          <w:rFonts w:cs="Arial"/>
        </w:rPr>
      </w:pPr>
      <w:r w:rsidRPr="004C22EB">
        <w:rPr>
          <w:rFonts w:cs="Arial"/>
        </w:rPr>
        <w:t xml:space="preserve">the degree of certainty that increasing TFA intake (by </w:t>
      </w:r>
      <w:proofErr w:type="spellStart"/>
      <w:r w:rsidR="00BE6AD2">
        <w:rPr>
          <w:rFonts w:cs="Arial"/>
        </w:rPr>
        <w:t>iso</w:t>
      </w:r>
      <w:r w:rsidRPr="004C22EB">
        <w:rPr>
          <w:rFonts w:cs="Arial"/>
        </w:rPr>
        <w:t>energetic</w:t>
      </w:r>
      <w:proofErr w:type="spellEnd"/>
      <w:r w:rsidRPr="004C22EB">
        <w:rPr>
          <w:rFonts w:cs="Arial"/>
        </w:rPr>
        <w:t xml:space="preserve"> exchange with carbohydrate or cis-MUFA) increases LDL-C and decreases HDL-C </w:t>
      </w:r>
      <w:r w:rsidR="00AE5F67" w:rsidRPr="004C22EB">
        <w:rPr>
          <w:rFonts w:cs="Arial"/>
        </w:rPr>
        <w:t xml:space="preserve">is </w:t>
      </w:r>
      <w:r w:rsidRPr="004C22EB">
        <w:rPr>
          <w:rFonts w:cs="Arial"/>
        </w:rPr>
        <w:t>rated HIGH</w:t>
      </w:r>
    </w:p>
    <w:p w14:paraId="44EB75E4" w14:textId="24D6A06D" w:rsidR="001C59FC" w:rsidRPr="004C22EB" w:rsidRDefault="001C59FC" w:rsidP="004B39B8">
      <w:pPr>
        <w:pStyle w:val="ListParagraph"/>
        <w:numPr>
          <w:ilvl w:val="0"/>
          <w:numId w:val="34"/>
        </w:numPr>
        <w:ind w:left="567" w:hanging="567"/>
        <w:rPr>
          <w:rFonts w:cs="Arial"/>
        </w:rPr>
      </w:pPr>
      <w:r w:rsidRPr="004C22EB">
        <w:rPr>
          <w:rFonts w:cs="Arial"/>
        </w:rPr>
        <w:t xml:space="preserve">the increase in LDL-C is approximately 4-fold larger than the decrease in HDL and so simple subtraction indicates that total-C would therefore increase with </w:t>
      </w:r>
      <w:proofErr w:type="spellStart"/>
      <w:r w:rsidRPr="006E02C0">
        <w:rPr>
          <w:rFonts w:cs="Arial"/>
        </w:rPr>
        <w:t>iso</w:t>
      </w:r>
      <w:proofErr w:type="spellEnd"/>
      <w:r w:rsidR="009F1EDD" w:rsidRPr="006E02C0">
        <w:rPr>
          <w:rFonts w:cs="Arial"/>
        </w:rPr>
        <w:t>-</w:t>
      </w:r>
      <w:r w:rsidRPr="006E02C0">
        <w:rPr>
          <w:rFonts w:cs="Arial"/>
        </w:rPr>
        <w:t>energetic</w:t>
      </w:r>
      <w:r w:rsidRPr="004C22EB">
        <w:rPr>
          <w:rFonts w:cs="Arial"/>
        </w:rPr>
        <w:t xml:space="preserve"> increase in TFA intake</w:t>
      </w:r>
    </w:p>
    <w:p w14:paraId="18167782" w14:textId="07C02B1C" w:rsidR="001C59FC" w:rsidRDefault="001C59FC" w:rsidP="004B39B8">
      <w:pPr>
        <w:pStyle w:val="ListParagraph"/>
        <w:numPr>
          <w:ilvl w:val="0"/>
          <w:numId w:val="34"/>
        </w:numPr>
        <w:ind w:left="567" w:hanging="567"/>
        <w:rPr>
          <w:rFonts w:cs="Arial"/>
        </w:rPr>
      </w:pPr>
      <w:proofErr w:type="gramStart"/>
      <w:r w:rsidRPr="004C22EB">
        <w:rPr>
          <w:rFonts w:cs="Arial"/>
        </w:rPr>
        <w:t>analyses</w:t>
      </w:r>
      <w:proofErr w:type="gramEnd"/>
      <w:r w:rsidRPr="004C22EB">
        <w:rPr>
          <w:rFonts w:cs="Arial"/>
        </w:rPr>
        <w:t xml:space="preserve"> of various subsets of data confirm that total-C increase</w:t>
      </w:r>
      <w:r w:rsidR="00AE5F67" w:rsidRPr="004C22EB">
        <w:rPr>
          <w:rFonts w:cs="Arial"/>
        </w:rPr>
        <w:t>s</w:t>
      </w:r>
      <w:r w:rsidRPr="004C22EB">
        <w:rPr>
          <w:rFonts w:cs="Arial"/>
        </w:rPr>
        <w:t xml:space="preserve"> with </w:t>
      </w:r>
      <w:proofErr w:type="spellStart"/>
      <w:r w:rsidR="00BE6AD2">
        <w:rPr>
          <w:rFonts w:cs="Arial"/>
        </w:rPr>
        <w:t>iso</w:t>
      </w:r>
      <w:r w:rsidRPr="006E02C0">
        <w:rPr>
          <w:rFonts w:cs="Arial"/>
        </w:rPr>
        <w:t>energetic</w:t>
      </w:r>
      <w:proofErr w:type="spellEnd"/>
      <w:r w:rsidRPr="004C22EB">
        <w:rPr>
          <w:rFonts w:cs="Arial"/>
        </w:rPr>
        <w:t xml:space="preserve"> increase of TFA intake</w:t>
      </w:r>
      <w:r w:rsidR="004B39B8">
        <w:rPr>
          <w:rFonts w:cs="Arial"/>
        </w:rPr>
        <w:t>.</w:t>
      </w:r>
    </w:p>
    <w:p w14:paraId="69555C68" w14:textId="77777777" w:rsidR="00564C28" w:rsidRDefault="00564C28" w:rsidP="00564C28">
      <w:pPr>
        <w:rPr>
          <w:rFonts w:cs="Arial"/>
        </w:rPr>
      </w:pPr>
    </w:p>
    <w:p w14:paraId="1141B1F7" w14:textId="7B273A26" w:rsidR="00564C28" w:rsidRPr="00B10699" w:rsidRDefault="00564C28" w:rsidP="00564C28">
      <w:pPr>
        <w:rPr>
          <w:rFonts w:cs="Arial"/>
        </w:rPr>
      </w:pPr>
      <w:r>
        <w:rPr>
          <w:rFonts w:cs="Arial"/>
        </w:rPr>
        <w:t xml:space="preserve">FSANZ </w:t>
      </w:r>
      <w:r w:rsidR="0095578F">
        <w:rPr>
          <w:rFonts w:cs="Arial"/>
        </w:rPr>
        <w:t>considers</w:t>
      </w:r>
      <w:r>
        <w:rPr>
          <w:rFonts w:cs="Arial"/>
        </w:rPr>
        <w:t xml:space="preserve"> that there is a ‘High’ degree of certainty that increasing TFA intake (by </w:t>
      </w:r>
      <w:proofErr w:type="spellStart"/>
      <w:r w:rsidR="00BE6AD2">
        <w:rPr>
          <w:rFonts w:cs="Arial"/>
        </w:rPr>
        <w:t>iso</w:t>
      </w:r>
      <w:r w:rsidR="009F1EDD">
        <w:rPr>
          <w:rFonts w:cs="Arial"/>
        </w:rPr>
        <w:t>ene</w:t>
      </w:r>
      <w:r>
        <w:rPr>
          <w:rFonts w:cs="Arial"/>
        </w:rPr>
        <w:t>rgetic</w:t>
      </w:r>
      <w:proofErr w:type="spellEnd"/>
      <w:r>
        <w:rPr>
          <w:rFonts w:cs="Arial"/>
        </w:rPr>
        <w:t xml:space="preserve"> </w:t>
      </w:r>
      <w:r w:rsidRPr="00B10699">
        <w:rPr>
          <w:rFonts w:cs="Arial"/>
        </w:rPr>
        <w:t xml:space="preserve">exchange with </w:t>
      </w:r>
      <w:r w:rsidR="009F1EDD" w:rsidRPr="00B10699">
        <w:rPr>
          <w:rFonts w:cs="Arial"/>
        </w:rPr>
        <w:t xml:space="preserve">carbohydrate or </w:t>
      </w:r>
      <w:r w:rsidRPr="00B10699">
        <w:rPr>
          <w:rFonts w:cs="Arial"/>
        </w:rPr>
        <w:t xml:space="preserve">cis-monounsaturated fats) increases LDL-C (Appendix 1). </w:t>
      </w:r>
    </w:p>
    <w:p w14:paraId="20551631" w14:textId="77777777" w:rsidR="00564C28" w:rsidRPr="00B10699" w:rsidRDefault="00564C28" w:rsidP="00564C28">
      <w:pPr>
        <w:rPr>
          <w:rFonts w:cs="Arial"/>
        </w:rPr>
      </w:pPr>
    </w:p>
    <w:p w14:paraId="30F37B3D" w14:textId="3B3590D2" w:rsidR="001C59FC" w:rsidRPr="004C22EB" w:rsidRDefault="00564C28" w:rsidP="001C59FC">
      <w:pPr>
        <w:rPr>
          <w:rFonts w:cs="Arial"/>
        </w:rPr>
      </w:pPr>
      <w:r w:rsidRPr="00B10699">
        <w:rPr>
          <w:rFonts w:cs="Arial"/>
        </w:rPr>
        <w:t xml:space="preserve">FSANZ </w:t>
      </w:r>
      <w:r w:rsidR="00B10699" w:rsidRPr="00B10699">
        <w:rPr>
          <w:rFonts w:cs="Arial"/>
        </w:rPr>
        <w:t>notes that the analysis of HDL-C by ECU is not statistically significant (p</w:t>
      </w:r>
      <w:r w:rsidR="00614E07">
        <w:rPr>
          <w:rFonts w:cs="Arial"/>
        </w:rPr>
        <w:t xml:space="preserve"> </w:t>
      </w:r>
      <w:r w:rsidR="00B10699" w:rsidRPr="00B10699">
        <w:rPr>
          <w:rFonts w:cs="Arial"/>
        </w:rPr>
        <w:t>=</w:t>
      </w:r>
      <w:r w:rsidR="00614E07">
        <w:rPr>
          <w:rFonts w:cs="Arial"/>
        </w:rPr>
        <w:t xml:space="preserve"> </w:t>
      </w:r>
      <w:r w:rsidR="00B10699" w:rsidRPr="00B10699">
        <w:rPr>
          <w:rFonts w:cs="Arial"/>
        </w:rPr>
        <w:t>0.2) but that one study w</w:t>
      </w:r>
      <w:r w:rsidR="00C666A0">
        <w:rPr>
          <w:rFonts w:cs="Arial"/>
        </w:rPr>
        <w:t xml:space="preserve">hich has a high weight in Figure 4a is </w:t>
      </w:r>
      <w:r w:rsidR="00B10699" w:rsidRPr="00B10699">
        <w:rPr>
          <w:rFonts w:cs="Arial"/>
        </w:rPr>
        <w:t xml:space="preserve">marked ‘non estimable’ (Figure 4b, </w:t>
      </w:r>
      <w:proofErr w:type="spellStart"/>
      <w:r w:rsidR="00B10699" w:rsidRPr="00B10699">
        <w:rPr>
          <w:rFonts w:cs="Arial"/>
        </w:rPr>
        <w:t>Hafekost</w:t>
      </w:r>
      <w:proofErr w:type="spellEnd"/>
      <w:r w:rsidR="00B10699" w:rsidRPr="00B10699">
        <w:rPr>
          <w:rFonts w:cs="Arial"/>
        </w:rPr>
        <w:t xml:space="preserve"> et al, 2014)</w:t>
      </w:r>
      <w:r w:rsidR="00202CF8">
        <w:rPr>
          <w:rFonts w:cs="Arial"/>
        </w:rPr>
        <w:t xml:space="preserve">. </w:t>
      </w:r>
      <w:r w:rsidR="00B10699" w:rsidRPr="00B10699">
        <w:rPr>
          <w:rFonts w:cs="Arial"/>
        </w:rPr>
        <w:t xml:space="preserve">When </w:t>
      </w:r>
      <w:r w:rsidR="00C666A0">
        <w:rPr>
          <w:rFonts w:cs="Arial"/>
        </w:rPr>
        <w:t xml:space="preserve">FSANZ recalculated the data in Figure 4b to include </w:t>
      </w:r>
      <w:r w:rsidR="00B10699" w:rsidRPr="00B10699">
        <w:rPr>
          <w:rFonts w:cs="Arial"/>
        </w:rPr>
        <w:t>this study, the confidence intervals become narrower and exclude the null effect (p</w:t>
      </w:r>
      <w:r w:rsidR="00614E07">
        <w:rPr>
          <w:rFonts w:cs="Arial"/>
        </w:rPr>
        <w:t xml:space="preserve"> </w:t>
      </w:r>
      <w:r w:rsidR="00B10699" w:rsidRPr="00B10699">
        <w:rPr>
          <w:rFonts w:cs="Arial"/>
        </w:rPr>
        <w:t>=</w:t>
      </w:r>
      <w:r w:rsidR="00614E07">
        <w:rPr>
          <w:rFonts w:cs="Arial"/>
        </w:rPr>
        <w:t xml:space="preserve"> </w:t>
      </w:r>
      <w:r w:rsidR="00B10699" w:rsidRPr="00B10699">
        <w:rPr>
          <w:rFonts w:cs="Arial"/>
        </w:rPr>
        <w:t xml:space="preserve">0.03). </w:t>
      </w:r>
    </w:p>
    <w:p w14:paraId="08A03B91" w14:textId="77777777" w:rsidR="001938E9" w:rsidRPr="004C22EB" w:rsidRDefault="00264BDC" w:rsidP="00A167FD">
      <w:pPr>
        <w:pStyle w:val="Heading2"/>
      </w:pPr>
      <w:bookmarkStart w:id="15" w:name="_Toc487100082"/>
      <w:r w:rsidRPr="004C22EB">
        <w:t>C</w:t>
      </w:r>
      <w:r w:rsidR="001938E9" w:rsidRPr="004C22EB">
        <w:t>onsistency across studies</w:t>
      </w:r>
      <w:bookmarkEnd w:id="15"/>
    </w:p>
    <w:p w14:paraId="15C2001F" w14:textId="14FE1491" w:rsidR="00F97215" w:rsidRPr="00791F68" w:rsidRDefault="009F1EDD" w:rsidP="001C59FC">
      <w:pPr>
        <w:rPr>
          <w:rFonts w:cs="Arial"/>
          <w:lang w:val="en"/>
        </w:rPr>
      </w:pPr>
      <w:r w:rsidRPr="00791F68">
        <w:rPr>
          <w:rFonts w:cs="Arial"/>
          <w:lang w:val="en"/>
        </w:rPr>
        <w:t>I</w:t>
      </w:r>
      <w:r w:rsidRPr="00791F68">
        <w:rPr>
          <w:rFonts w:cs="Arial"/>
          <w:vertAlign w:val="superscript"/>
          <w:lang w:val="en"/>
        </w:rPr>
        <w:t>2</w:t>
      </w:r>
      <w:r w:rsidRPr="00791F68">
        <w:rPr>
          <w:rFonts w:cs="Arial"/>
          <w:lang w:val="en"/>
        </w:rPr>
        <w:t xml:space="preserve"> was 31% for LDL-C and 61% for HDL-C for the overall meta-an</w:t>
      </w:r>
      <w:r w:rsidR="00791F68" w:rsidRPr="00791F68">
        <w:rPr>
          <w:rFonts w:cs="Arial"/>
          <w:lang w:val="en"/>
        </w:rPr>
        <w:t>alysis (</w:t>
      </w:r>
      <w:proofErr w:type="spellStart"/>
      <w:r w:rsidR="00791F68" w:rsidRPr="00791F68">
        <w:rPr>
          <w:rFonts w:cs="Arial"/>
          <w:lang w:val="en"/>
        </w:rPr>
        <w:t>Hafekost</w:t>
      </w:r>
      <w:proofErr w:type="spellEnd"/>
      <w:r w:rsidR="00791F68" w:rsidRPr="00791F68">
        <w:rPr>
          <w:rFonts w:cs="Arial"/>
          <w:lang w:val="en"/>
        </w:rPr>
        <w:t xml:space="preserve"> et al, 2014). </w:t>
      </w:r>
      <w:r w:rsidR="000623CF" w:rsidRPr="00791F68">
        <w:rPr>
          <w:rFonts w:cs="Arial"/>
          <w:lang w:val="en"/>
        </w:rPr>
        <w:t>The presence of a dose-response effect would be one</w:t>
      </w:r>
      <w:r w:rsidRPr="00791F68">
        <w:rPr>
          <w:rFonts w:cs="Arial"/>
          <w:lang w:val="en"/>
        </w:rPr>
        <w:t xml:space="preserve"> cause of a high heterogeneity among studies (i.e. inconsistent results)</w:t>
      </w:r>
      <w:r w:rsidR="000623CF" w:rsidRPr="00791F68">
        <w:rPr>
          <w:rFonts w:cs="Arial"/>
          <w:lang w:val="en"/>
        </w:rPr>
        <w:t>. Figures</w:t>
      </w:r>
      <w:r w:rsidR="00264BDC" w:rsidRPr="00791F68">
        <w:rPr>
          <w:rFonts w:cs="Arial"/>
          <w:lang w:val="en"/>
        </w:rPr>
        <w:t xml:space="preserve"> 1 and 2 show the individual data points of the studies included in the existing review, </w:t>
      </w:r>
      <w:proofErr w:type="spellStart"/>
      <w:r w:rsidR="00264BDC" w:rsidRPr="00791F68">
        <w:rPr>
          <w:rFonts w:cs="Arial"/>
          <w:lang w:val="en"/>
        </w:rPr>
        <w:t>Brouwer</w:t>
      </w:r>
      <w:proofErr w:type="spellEnd"/>
      <w:r w:rsidR="00264BDC" w:rsidRPr="00791F68">
        <w:rPr>
          <w:rFonts w:cs="Arial"/>
          <w:lang w:val="en"/>
        </w:rPr>
        <w:t xml:space="preserve"> et al</w:t>
      </w:r>
      <w:r w:rsidR="004B39B8" w:rsidRPr="00791F68">
        <w:rPr>
          <w:rFonts w:cs="Arial"/>
          <w:lang w:val="en"/>
        </w:rPr>
        <w:t>.</w:t>
      </w:r>
      <w:r w:rsidR="00264BDC" w:rsidRPr="00791F68">
        <w:rPr>
          <w:rFonts w:cs="Arial"/>
          <w:lang w:val="en"/>
        </w:rPr>
        <w:t xml:space="preserve"> (2010) and the new studies identified in the update by </w:t>
      </w:r>
      <w:proofErr w:type="spellStart"/>
      <w:r w:rsidR="004B39B8" w:rsidRPr="00791F68">
        <w:rPr>
          <w:rFonts w:cs="Arial"/>
          <w:lang w:val="en"/>
        </w:rPr>
        <w:t>Hafekost</w:t>
      </w:r>
      <w:proofErr w:type="spellEnd"/>
      <w:r w:rsidR="004B39B8" w:rsidRPr="00791F68">
        <w:rPr>
          <w:rFonts w:cs="Arial"/>
          <w:lang w:val="en"/>
        </w:rPr>
        <w:t xml:space="preserve"> et al. </w:t>
      </w:r>
      <w:r w:rsidR="00746F37" w:rsidRPr="00791F68">
        <w:rPr>
          <w:rFonts w:cs="Arial"/>
          <w:lang w:val="en"/>
        </w:rPr>
        <w:t>(2014).</w:t>
      </w:r>
      <w:r w:rsidR="00264BDC" w:rsidRPr="00791F68">
        <w:rPr>
          <w:rFonts w:cs="Arial"/>
          <w:lang w:val="en"/>
        </w:rPr>
        <w:t xml:space="preserve"> </w:t>
      </w:r>
    </w:p>
    <w:p w14:paraId="3F0639AB" w14:textId="77777777" w:rsidR="00F97215" w:rsidRDefault="00F97215">
      <w:pPr>
        <w:rPr>
          <w:rFonts w:cs="Arial"/>
          <w:color w:val="333333"/>
          <w:lang w:val="en"/>
        </w:rPr>
      </w:pPr>
    </w:p>
    <w:p w14:paraId="6CDF1961" w14:textId="2A20996F" w:rsidR="00F97215" w:rsidRPr="00791F68" w:rsidRDefault="00F97215" w:rsidP="00F97215">
      <w:pPr>
        <w:rPr>
          <w:rFonts w:cs="Arial"/>
          <w:lang w:val="en"/>
        </w:rPr>
      </w:pPr>
      <w:r w:rsidRPr="00791F68">
        <w:rPr>
          <w:rFonts w:cs="Arial"/>
          <w:lang w:val="en"/>
        </w:rPr>
        <w:t>Comparison of these graphs shows that the new studies are consistent with the pattern of the earlier studies. There is a dose-response relationship. It is also evident that the more recent studies have tested lower intakes than the body of earlier studies. Consequently there is a spread of results on both sides of no effect at low intakes. At higher intakes, the effect is more consistently either an increase</w:t>
      </w:r>
      <w:r w:rsidR="000623CF" w:rsidRPr="00791F68">
        <w:rPr>
          <w:rFonts w:cs="Arial"/>
          <w:lang w:val="en"/>
        </w:rPr>
        <w:t xml:space="preserve"> for</w:t>
      </w:r>
      <w:r w:rsidRPr="00791F68">
        <w:rPr>
          <w:rFonts w:cs="Arial"/>
          <w:lang w:val="en"/>
        </w:rPr>
        <w:t xml:space="preserve"> LDL-C or a decrease </w:t>
      </w:r>
      <w:r w:rsidR="000623CF" w:rsidRPr="00791F68">
        <w:rPr>
          <w:rFonts w:cs="Arial"/>
          <w:lang w:val="en"/>
        </w:rPr>
        <w:t>for H</w:t>
      </w:r>
      <w:r w:rsidRPr="00791F68">
        <w:rPr>
          <w:rFonts w:cs="Arial"/>
          <w:lang w:val="en"/>
        </w:rPr>
        <w:t xml:space="preserve">DL-C. </w:t>
      </w:r>
    </w:p>
    <w:p w14:paraId="11B5BADA" w14:textId="77777777" w:rsidR="00F97215" w:rsidRPr="00791F68" w:rsidRDefault="00F97215" w:rsidP="00F97215">
      <w:pPr>
        <w:pStyle w:val="Heading1"/>
        <w:rPr>
          <w:lang w:eastAsia="en-AU"/>
        </w:rPr>
      </w:pPr>
      <w:bookmarkStart w:id="16" w:name="_Toc487100083"/>
      <w:r w:rsidRPr="00791F68">
        <w:rPr>
          <w:lang w:eastAsia="en-AU"/>
        </w:rPr>
        <w:t>Conclusion</w:t>
      </w:r>
      <w:bookmarkEnd w:id="16"/>
    </w:p>
    <w:p w14:paraId="03CDE702" w14:textId="7AF77DBF" w:rsidR="00F97215" w:rsidRDefault="00F97215" w:rsidP="00F97215">
      <w:r w:rsidRPr="009B1891">
        <w:t>FSANZ considers that the u</w:t>
      </w:r>
      <w:r>
        <w:t>p</w:t>
      </w:r>
      <w:r w:rsidRPr="009B1891">
        <w:t>dated systematic review of the relationship between TFA</w:t>
      </w:r>
      <w:r>
        <w:t>s</w:t>
      </w:r>
      <w:r w:rsidRPr="009B1891">
        <w:t xml:space="preserve"> and three </w:t>
      </w:r>
      <w:r>
        <w:t xml:space="preserve">blood </w:t>
      </w:r>
      <w:r w:rsidRPr="009B1891">
        <w:t xml:space="preserve">lipid concentrations </w:t>
      </w:r>
      <w:r>
        <w:t xml:space="preserve">does not alter previous conclusions and </w:t>
      </w:r>
      <w:r w:rsidRPr="009B1891">
        <w:t>shows that</w:t>
      </w:r>
      <w:r w:rsidR="00346489">
        <w:t xml:space="preserve">, when exchanged on an </w:t>
      </w:r>
      <w:proofErr w:type="spellStart"/>
      <w:r w:rsidR="00BE6AD2">
        <w:t>iso</w:t>
      </w:r>
      <w:r w:rsidR="00346489">
        <w:t>energetic</w:t>
      </w:r>
      <w:proofErr w:type="spellEnd"/>
      <w:r w:rsidR="00346489">
        <w:t xml:space="preserve"> basis for cis-monounsaturated fats, </w:t>
      </w:r>
      <w:r w:rsidRPr="009B1891">
        <w:t xml:space="preserve"> there is a ‘High’ degree of certainty that increasing TFA intake</w:t>
      </w:r>
      <w:r w:rsidR="00346489">
        <w:t xml:space="preserve"> </w:t>
      </w:r>
      <w:r w:rsidRPr="009B1891">
        <w:t xml:space="preserve">increases total-C and LDL-C </w:t>
      </w:r>
      <w:r w:rsidR="00B10699">
        <w:t>and a ‘High’</w:t>
      </w:r>
      <w:r>
        <w:t xml:space="preserve"> degree of certainty that TFA </w:t>
      </w:r>
      <w:r w:rsidRPr="009B1891">
        <w:t xml:space="preserve">lowers HDL-C. Most of the studies in the reviews were conducted in adults with normal cholesterol </w:t>
      </w:r>
      <w:r>
        <w:t>concentration</w:t>
      </w:r>
      <w:r w:rsidRPr="009B1891">
        <w:t>s</w:t>
      </w:r>
      <w:r w:rsidR="00346489">
        <w:t xml:space="preserve"> and some studies in adults with elevated cholesterol concentrations</w:t>
      </w:r>
      <w:r w:rsidR="00202CF8">
        <w:t xml:space="preserve">. </w:t>
      </w:r>
      <w:r w:rsidRPr="009B1891">
        <w:t xml:space="preserve"> </w:t>
      </w:r>
    </w:p>
    <w:p w14:paraId="6F42F0D3" w14:textId="2CD55555" w:rsidR="00F97215" w:rsidRDefault="00F97215">
      <w:pPr>
        <w:rPr>
          <w:rFonts w:cs="Arial"/>
          <w:color w:val="333333"/>
          <w:lang w:val="en"/>
        </w:rPr>
      </w:pPr>
    </w:p>
    <w:p w14:paraId="45DA752D" w14:textId="77777777" w:rsidR="00C87E84" w:rsidRDefault="001938E9" w:rsidP="00C87E84">
      <w:pPr>
        <w:rPr>
          <w:rFonts w:cs="Arial"/>
          <w:sz w:val="16"/>
          <w:szCs w:val="16"/>
        </w:rPr>
      </w:pPr>
      <w:r>
        <w:rPr>
          <w:rFonts w:cs="Arial"/>
          <w:noProof/>
          <w:sz w:val="16"/>
          <w:szCs w:val="16"/>
          <w:lang w:eastAsia="en-GB"/>
        </w:rPr>
        <w:lastRenderedPageBreak/>
        <w:drawing>
          <wp:inline distT="0" distB="0" distL="0" distR="0" wp14:anchorId="6C79F951" wp14:editId="2D50C0B2">
            <wp:extent cx="5759450" cy="3064062"/>
            <wp:effectExtent l="0" t="0" r="0" b="3175"/>
            <wp:docPr id="1" name="Picture 1" descr="Graph with percent energy from fatty acids on the x axis and change in LDL-C on the y axis showing studies from the existing review by Brou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ked\AppData\Local\Microsoft\Windows\Temporary Internet Files\Content.IE5\LXHXWPNU\journal.pone.0009434.g004.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3064062"/>
                    </a:xfrm>
                    <a:prstGeom prst="rect">
                      <a:avLst/>
                    </a:prstGeom>
                    <a:noFill/>
                    <a:ln>
                      <a:noFill/>
                    </a:ln>
                  </pic:spPr>
                </pic:pic>
              </a:graphicData>
            </a:graphic>
          </wp:inline>
        </w:drawing>
      </w:r>
    </w:p>
    <w:p w14:paraId="68CE2B51" w14:textId="77777777" w:rsidR="00C925EA" w:rsidRDefault="00C925EA" w:rsidP="000A2F8E"/>
    <w:p w14:paraId="4860B8D0" w14:textId="77777777" w:rsidR="000A4C71" w:rsidRDefault="000A4C71" w:rsidP="000A2F8E"/>
    <w:p w14:paraId="419EDD1A" w14:textId="77777777" w:rsidR="000A4C71" w:rsidRDefault="000A4C71" w:rsidP="000A2F8E"/>
    <w:p w14:paraId="06950A9C" w14:textId="77777777" w:rsidR="000A4C71" w:rsidRDefault="000A4C71" w:rsidP="00C81A0E">
      <w:r>
        <w:rPr>
          <w:noProof/>
          <w:lang w:eastAsia="en-GB"/>
        </w:rPr>
        <w:drawing>
          <wp:inline distT="0" distB="0" distL="0" distR="0" wp14:anchorId="2B0A0D28" wp14:editId="293EC680">
            <wp:extent cx="5274527" cy="3950370"/>
            <wp:effectExtent l="0" t="0" r="2540" b="0"/>
            <wp:docPr id="4" name="Picture 4" descr="Graph with percentage of energy intake from TFAs on the x axis and effect estimate (change in LDL-C) on the y axis for studies included in the updated review (Hakefost et al. 20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9496" cy="3954092"/>
                    </a:xfrm>
                    <a:prstGeom prst="rect">
                      <a:avLst/>
                    </a:prstGeom>
                    <a:noFill/>
                    <a:ln>
                      <a:noFill/>
                    </a:ln>
                  </pic:spPr>
                </pic:pic>
              </a:graphicData>
            </a:graphic>
          </wp:inline>
        </w:drawing>
      </w:r>
    </w:p>
    <w:p w14:paraId="1EC4C62F" w14:textId="77777777" w:rsidR="00264BDC" w:rsidRDefault="00264BDC" w:rsidP="000A2F8E"/>
    <w:p w14:paraId="7DF3C5CC" w14:textId="3FB74289" w:rsidR="00264BDC" w:rsidRPr="00DB6F85" w:rsidRDefault="00264BDC" w:rsidP="000A2F8E">
      <w:r w:rsidRPr="00DB6F85">
        <w:rPr>
          <w:b/>
        </w:rPr>
        <w:t>Figure 1</w:t>
      </w:r>
      <w:r w:rsidR="00746F37">
        <w:rPr>
          <w:b/>
        </w:rPr>
        <w:t xml:space="preserve">: </w:t>
      </w:r>
      <w:r w:rsidRPr="00DB6F85">
        <w:t xml:space="preserve"> Studies of </w:t>
      </w:r>
      <w:r w:rsidR="00AE5F67" w:rsidRPr="00DB6F85">
        <w:t xml:space="preserve">the effects of </w:t>
      </w:r>
      <w:r w:rsidR="00746F37" w:rsidRPr="00DB6F85">
        <w:t>TFAs</w:t>
      </w:r>
      <w:r w:rsidR="00AE5F67" w:rsidRPr="00DB6F85">
        <w:t xml:space="preserve"> on LDL</w:t>
      </w:r>
      <w:r w:rsidR="00746F37" w:rsidRPr="00DB6F85">
        <w:t>-C</w:t>
      </w:r>
      <w:r w:rsidRPr="00DB6F85">
        <w:t xml:space="preserve"> included in the existing review (upper graph, </w:t>
      </w:r>
      <w:proofErr w:type="spellStart"/>
      <w:r w:rsidRPr="00DB6F85">
        <w:t>Brouwer</w:t>
      </w:r>
      <w:proofErr w:type="spellEnd"/>
      <w:r w:rsidRPr="00DB6F85">
        <w:t xml:space="preserve"> et al</w:t>
      </w:r>
      <w:r w:rsidR="00746F37">
        <w:t>.</w:t>
      </w:r>
      <w:r w:rsidRPr="00DB6F85">
        <w:t xml:space="preserve"> </w:t>
      </w:r>
      <w:r w:rsidRPr="00DB6F85">
        <w:rPr>
          <w:rFonts w:cs="Arial"/>
        </w:rPr>
        <w:t>2010</w:t>
      </w:r>
      <w:r w:rsidR="002B6279" w:rsidRPr="00DB6F85">
        <w:rPr>
          <w:rFonts w:cs="Arial"/>
        </w:rPr>
        <w:t xml:space="preserve"> </w:t>
      </w:r>
      <w:r w:rsidR="002B6279" w:rsidRPr="00746F37">
        <w:rPr>
          <w:rFonts w:cs="Arial"/>
          <w:color w:val="333333"/>
          <w:lang w:val="en"/>
        </w:rPr>
        <w:t>doi:10.1371/journal.pone.0009434.g004</w:t>
      </w:r>
      <w:r w:rsidRPr="00DB6F85">
        <w:rPr>
          <w:rFonts w:cs="Arial"/>
        </w:rPr>
        <w:t>) and identified</w:t>
      </w:r>
      <w:r w:rsidRPr="00DB6F85">
        <w:t xml:space="preserve"> in the update (lower graph </w:t>
      </w:r>
      <w:proofErr w:type="spellStart"/>
      <w:r w:rsidRPr="00DB6F85">
        <w:t>Hafekost</w:t>
      </w:r>
      <w:proofErr w:type="spellEnd"/>
      <w:r w:rsidRPr="00DB6F85">
        <w:t xml:space="preserve"> et al</w:t>
      </w:r>
      <w:r w:rsidR="00746F37">
        <w:t>.</w:t>
      </w:r>
      <w:r w:rsidRPr="00DB6F85">
        <w:t xml:space="preserve"> 2014). </w:t>
      </w:r>
      <w:r w:rsidRPr="00DB6F85">
        <w:rPr>
          <w:rFonts w:cs="Arial"/>
          <w:color w:val="333333"/>
          <w:lang w:val="en"/>
        </w:rPr>
        <w:t>Note that only one of the studies using CLA (the black dots</w:t>
      </w:r>
      <w:r w:rsidR="00D76DF7">
        <w:rPr>
          <w:rFonts w:cs="Arial"/>
          <w:color w:val="333333"/>
          <w:lang w:val="en"/>
        </w:rPr>
        <w:t xml:space="preserve"> in the upper graph</w:t>
      </w:r>
      <w:r w:rsidRPr="00DB6F85">
        <w:rPr>
          <w:rFonts w:cs="Arial"/>
          <w:color w:val="333333"/>
          <w:lang w:val="en"/>
        </w:rPr>
        <w:t>) was brought forward into the current review because the update considered only the cis-9</w:t>
      </w:r>
      <w:proofErr w:type="gramStart"/>
      <w:r w:rsidRPr="00DB6F85">
        <w:rPr>
          <w:rFonts w:cs="Arial"/>
          <w:color w:val="333333"/>
          <w:lang w:val="en"/>
        </w:rPr>
        <w:t>,trans</w:t>
      </w:r>
      <w:proofErr w:type="gramEnd"/>
      <w:r w:rsidRPr="00DB6F85">
        <w:rPr>
          <w:rFonts w:cs="Arial"/>
          <w:color w:val="333333"/>
          <w:lang w:val="en"/>
        </w:rPr>
        <w:t xml:space="preserve">-11 isomer of CLA when used alone.  </w:t>
      </w:r>
      <w:r w:rsidR="00D76DF7">
        <w:rPr>
          <w:rFonts w:cs="Arial"/>
          <w:color w:val="333333"/>
          <w:lang w:val="en"/>
        </w:rPr>
        <w:t>Hence this study (</w:t>
      </w:r>
      <w:proofErr w:type="spellStart"/>
      <w:r w:rsidR="00D76DF7">
        <w:rPr>
          <w:rFonts w:cs="Arial"/>
          <w:color w:val="333333"/>
          <w:lang w:val="en"/>
        </w:rPr>
        <w:t>Naumann</w:t>
      </w:r>
      <w:proofErr w:type="spellEnd"/>
      <w:r w:rsidR="00D76DF7">
        <w:rPr>
          <w:rFonts w:cs="Arial"/>
          <w:color w:val="333333"/>
          <w:lang w:val="en"/>
        </w:rPr>
        <w:t xml:space="preserve"> et al. 2006) does not appear in the lower graph.</w:t>
      </w:r>
      <w:r w:rsidRPr="00DB6F85">
        <w:rPr>
          <w:rFonts w:cs="Arial"/>
          <w:color w:val="333333"/>
          <w:lang w:val="en"/>
        </w:rPr>
        <w:t xml:space="preserve"> </w:t>
      </w:r>
    </w:p>
    <w:p w14:paraId="0BF82351" w14:textId="77777777" w:rsidR="001938E9" w:rsidRPr="001938E9" w:rsidRDefault="001938E9" w:rsidP="001938E9">
      <w:pPr>
        <w:rPr>
          <w:lang w:eastAsia="en-AU"/>
        </w:rPr>
      </w:pPr>
      <w:r>
        <w:rPr>
          <w:rFonts w:cs="Arial"/>
          <w:noProof/>
          <w:color w:val="333333"/>
          <w:lang w:eastAsia="en-GB"/>
        </w:rPr>
        <w:lastRenderedPageBreak/>
        <w:drawing>
          <wp:inline distT="0" distB="0" distL="0" distR="0" wp14:anchorId="21C0D1E4" wp14:editId="7D40DBB6">
            <wp:extent cx="5240796" cy="3088888"/>
            <wp:effectExtent l="0" t="0" r="0" b="0"/>
            <wp:docPr id="2" name="Picture 2" descr="Figure 5.  Results of randomized studies of the effects of diets high in industrial trans fatty acids (---○○○○○ ---) or ruminant trans fatty acids (····▴····) or CLA (▪▪▪•▪▪▪) compared with cis-unsaturated fatty acids on HDL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5.  Results of randomized studies of the effects of diets high in industrial trans fatty acids (---○○○○○ ---) or ruminant trans fatty acids (····▴····) or CLA (▪▪▪•▪▪▪) compared with cis-unsaturated fatty acids on HDL cholestero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47920" cy="3093087"/>
                    </a:xfrm>
                    <a:prstGeom prst="rect">
                      <a:avLst/>
                    </a:prstGeom>
                    <a:noFill/>
                    <a:ln>
                      <a:noFill/>
                    </a:ln>
                  </pic:spPr>
                </pic:pic>
              </a:graphicData>
            </a:graphic>
          </wp:inline>
        </w:drawing>
      </w:r>
    </w:p>
    <w:p w14:paraId="496F85CF" w14:textId="77777777" w:rsidR="002B6279" w:rsidRDefault="002B6279" w:rsidP="001938E9">
      <w:pPr>
        <w:pStyle w:val="Heading1"/>
        <w:numPr>
          <w:ilvl w:val="0"/>
          <w:numId w:val="0"/>
        </w:numPr>
        <w:rPr>
          <w:noProof/>
          <w:lang w:eastAsia="en-GB"/>
        </w:rPr>
      </w:pPr>
    </w:p>
    <w:p w14:paraId="566D368E" w14:textId="77777777" w:rsidR="001938E9" w:rsidRDefault="000A4C71" w:rsidP="00C81A0E">
      <w:pPr>
        <w:rPr>
          <w:lang w:eastAsia="en-AU"/>
        </w:rPr>
      </w:pPr>
      <w:r>
        <w:rPr>
          <w:noProof/>
          <w:lang w:eastAsia="en-GB"/>
        </w:rPr>
        <w:drawing>
          <wp:inline distT="0" distB="0" distL="0" distR="0" wp14:anchorId="3C39C4B0" wp14:editId="32142984">
            <wp:extent cx="4739268" cy="3590807"/>
            <wp:effectExtent l="0" t="0" r="4445" b="0"/>
            <wp:docPr id="3" name="Picture 3" descr="Graph with percentage of energy intake from TFAs on the x axis and effect estimate (change in HDL-C) on the y axis for studies included in the updated review (Hakefost et al.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3733" cy="3594190"/>
                    </a:xfrm>
                    <a:prstGeom prst="rect">
                      <a:avLst/>
                    </a:prstGeom>
                    <a:noFill/>
                    <a:ln>
                      <a:noFill/>
                    </a:ln>
                  </pic:spPr>
                </pic:pic>
              </a:graphicData>
            </a:graphic>
          </wp:inline>
        </w:drawing>
      </w:r>
    </w:p>
    <w:p w14:paraId="36D2D60E" w14:textId="091E0255" w:rsidR="002B6279" w:rsidRPr="00DB6F85" w:rsidRDefault="002B6279" w:rsidP="002B6279">
      <w:pPr>
        <w:rPr>
          <w:rFonts w:cs="Arial"/>
          <w:color w:val="333333"/>
          <w:lang w:val="en"/>
        </w:rPr>
      </w:pPr>
      <w:r w:rsidRPr="00DB6F85">
        <w:rPr>
          <w:b/>
        </w:rPr>
        <w:t>Figure 2</w:t>
      </w:r>
      <w:r w:rsidR="00746F37">
        <w:rPr>
          <w:b/>
        </w:rPr>
        <w:t xml:space="preserve">: </w:t>
      </w:r>
      <w:r w:rsidRPr="00DB6F85">
        <w:rPr>
          <w:b/>
        </w:rPr>
        <w:t xml:space="preserve"> </w:t>
      </w:r>
      <w:r w:rsidRPr="00DB6F85">
        <w:t xml:space="preserve"> Studies of</w:t>
      </w:r>
      <w:r w:rsidR="00AE5F67" w:rsidRPr="00DB6F85">
        <w:t xml:space="preserve"> the effect of</w:t>
      </w:r>
      <w:r w:rsidRPr="00DB6F85">
        <w:t xml:space="preserve"> </w:t>
      </w:r>
      <w:r w:rsidR="00746F37">
        <w:t>TFAs</w:t>
      </w:r>
      <w:r w:rsidRPr="00DB6F85">
        <w:t xml:space="preserve"> </w:t>
      </w:r>
      <w:r w:rsidR="00AE5F67" w:rsidRPr="00DB6F85">
        <w:t>on HDL</w:t>
      </w:r>
      <w:r w:rsidR="00746F37">
        <w:t>-C</w:t>
      </w:r>
      <w:r w:rsidR="00AE5F67" w:rsidRPr="00DB6F85">
        <w:t xml:space="preserve"> </w:t>
      </w:r>
      <w:r w:rsidRPr="00DB6F85">
        <w:t xml:space="preserve">included in the </w:t>
      </w:r>
      <w:r w:rsidRPr="00DB6F85">
        <w:rPr>
          <w:rFonts w:cs="Arial"/>
        </w:rPr>
        <w:t xml:space="preserve">existing review (upper graph, </w:t>
      </w:r>
      <w:proofErr w:type="spellStart"/>
      <w:r w:rsidRPr="00DB6F85">
        <w:rPr>
          <w:rFonts w:cs="Arial"/>
        </w:rPr>
        <w:t>Brouwer</w:t>
      </w:r>
      <w:proofErr w:type="spellEnd"/>
      <w:r w:rsidRPr="00DB6F85">
        <w:rPr>
          <w:rFonts w:cs="Arial"/>
        </w:rPr>
        <w:t xml:space="preserve"> et al</w:t>
      </w:r>
      <w:r w:rsidR="00746F37">
        <w:rPr>
          <w:rFonts w:cs="Arial"/>
        </w:rPr>
        <w:t>.</w:t>
      </w:r>
      <w:r w:rsidRPr="00DB6F85">
        <w:rPr>
          <w:rFonts w:cs="Arial"/>
        </w:rPr>
        <w:t xml:space="preserve"> 2010 </w:t>
      </w:r>
      <w:r w:rsidRPr="00DB6F85">
        <w:rPr>
          <w:rFonts w:cs="Arial"/>
          <w:color w:val="333333"/>
          <w:lang w:val="en"/>
        </w:rPr>
        <w:t>doi:10.1371/journal.pone.0009434.g005</w:t>
      </w:r>
      <w:r w:rsidRPr="00DB6F85">
        <w:rPr>
          <w:rFonts w:cs="Arial"/>
        </w:rPr>
        <w:t>) and</w:t>
      </w:r>
      <w:r w:rsidRPr="00DB6F85">
        <w:t xml:space="preserve"> identified in the update (lower graph </w:t>
      </w:r>
      <w:proofErr w:type="spellStart"/>
      <w:r w:rsidRPr="00DB6F85">
        <w:t>Hafekost</w:t>
      </w:r>
      <w:proofErr w:type="spellEnd"/>
      <w:r w:rsidRPr="00DB6F85">
        <w:t xml:space="preserve"> et al</w:t>
      </w:r>
      <w:r w:rsidR="00746F37">
        <w:t>.</w:t>
      </w:r>
      <w:r w:rsidRPr="00DB6F85">
        <w:t xml:space="preserve"> 2014). </w:t>
      </w:r>
      <w:r w:rsidR="00D76DF7" w:rsidRPr="00DB6F85">
        <w:rPr>
          <w:rFonts w:cs="Arial"/>
          <w:color w:val="333333"/>
          <w:lang w:val="en"/>
        </w:rPr>
        <w:t>Note that only one of the studies using CLA (the black dots</w:t>
      </w:r>
      <w:r w:rsidR="00D76DF7">
        <w:rPr>
          <w:rFonts w:cs="Arial"/>
          <w:color w:val="333333"/>
          <w:lang w:val="en"/>
        </w:rPr>
        <w:t xml:space="preserve"> in the upper graph</w:t>
      </w:r>
      <w:r w:rsidR="00D76DF7" w:rsidRPr="00DB6F85">
        <w:rPr>
          <w:rFonts w:cs="Arial"/>
          <w:color w:val="333333"/>
          <w:lang w:val="en"/>
        </w:rPr>
        <w:t>) was brought forward into the current review because the update considered only the cis-9</w:t>
      </w:r>
      <w:proofErr w:type="gramStart"/>
      <w:r w:rsidR="00D76DF7" w:rsidRPr="00DB6F85">
        <w:rPr>
          <w:rFonts w:cs="Arial"/>
          <w:color w:val="333333"/>
          <w:lang w:val="en"/>
        </w:rPr>
        <w:t>,trans</w:t>
      </w:r>
      <w:proofErr w:type="gramEnd"/>
      <w:r w:rsidR="00D76DF7" w:rsidRPr="00DB6F85">
        <w:rPr>
          <w:rFonts w:cs="Arial"/>
          <w:color w:val="333333"/>
          <w:lang w:val="en"/>
        </w:rPr>
        <w:t xml:space="preserve">-11 isomer of CLA when used alone.  </w:t>
      </w:r>
      <w:r w:rsidR="00D76DF7">
        <w:rPr>
          <w:rFonts w:cs="Arial"/>
          <w:color w:val="333333"/>
          <w:lang w:val="en"/>
        </w:rPr>
        <w:t>Hence this study (</w:t>
      </w:r>
      <w:proofErr w:type="spellStart"/>
      <w:r w:rsidR="00D76DF7">
        <w:rPr>
          <w:rFonts w:cs="Arial"/>
          <w:color w:val="333333"/>
          <w:lang w:val="en"/>
        </w:rPr>
        <w:t>Naumann</w:t>
      </w:r>
      <w:proofErr w:type="spellEnd"/>
      <w:r w:rsidR="00D76DF7">
        <w:rPr>
          <w:rFonts w:cs="Arial"/>
          <w:color w:val="333333"/>
          <w:lang w:val="en"/>
        </w:rPr>
        <w:t xml:space="preserve"> et al. 2006) does not appear in the lower graph.</w:t>
      </w:r>
    </w:p>
    <w:p w14:paraId="516AA336" w14:textId="026BDA3B" w:rsidR="002B6279" w:rsidRPr="002B6279" w:rsidRDefault="008F169A" w:rsidP="008F169A">
      <w:pPr>
        <w:tabs>
          <w:tab w:val="left" w:pos="1615"/>
        </w:tabs>
        <w:rPr>
          <w:rFonts w:cs="Arial"/>
          <w:color w:val="333333"/>
          <w:lang w:val="en"/>
        </w:rPr>
      </w:pPr>
      <w:r>
        <w:rPr>
          <w:rFonts w:cs="Arial"/>
          <w:color w:val="333333"/>
          <w:lang w:val="en"/>
        </w:rPr>
        <w:tab/>
      </w:r>
    </w:p>
    <w:p w14:paraId="4F015D79" w14:textId="77777777" w:rsidR="008F169A" w:rsidRDefault="008F169A">
      <w:pPr>
        <w:rPr>
          <w:rFonts w:cs="Arial"/>
          <w:color w:val="333333"/>
          <w:lang w:val="en"/>
        </w:rPr>
      </w:pPr>
      <w:r>
        <w:rPr>
          <w:rFonts w:cs="Arial"/>
          <w:color w:val="333333"/>
          <w:lang w:val="en"/>
        </w:rPr>
        <w:br w:type="page"/>
      </w:r>
    </w:p>
    <w:p w14:paraId="09B581AE" w14:textId="77777777" w:rsidR="001C59FC" w:rsidRDefault="001C59FC" w:rsidP="001C59FC">
      <w:pPr>
        <w:pStyle w:val="Heading1"/>
        <w:rPr>
          <w:lang w:eastAsia="en-AU"/>
        </w:rPr>
      </w:pPr>
      <w:bookmarkStart w:id="17" w:name="_Toc487100084"/>
      <w:r>
        <w:rPr>
          <w:lang w:eastAsia="en-AU"/>
        </w:rPr>
        <w:lastRenderedPageBreak/>
        <w:t>References</w:t>
      </w:r>
      <w:bookmarkEnd w:id="17"/>
    </w:p>
    <w:p w14:paraId="182CAAF1" w14:textId="17A28BCA" w:rsidR="00A167FD" w:rsidRPr="00741B94" w:rsidRDefault="00A167FD" w:rsidP="00952C55">
      <w:pPr>
        <w:autoSpaceDE w:val="0"/>
        <w:autoSpaceDN w:val="0"/>
        <w:adjustRightInd w:val="0"/>
        <w:rPr>
          <w:rFonts w:cs="Arial"/>
        </w:rPr>
      </w:pPr>
      <w:proofErr w:type="spellStart"/>
      <w:r w:rsidRPr="00741B94">
        <w:rPr>
          <w:rFonts w:cs="Arial"/>
        </w:rPr>
        <w:t>Almendingen</w:t>
      </w:r>
      <w:proofErr w:type="spellEnd"/>
      <w:r w:rsidRPr="00741B94">
        <w:rPr>
          <w:rFonts w:cs="Arial"/>
        </w:rPr>
        <w:t xml:space="preserve"> K, </w:t>
      </w:r>
      <w:proofErr w:type="spellStart"/>
      <w:r w:rsidRPr="00741B94">
        <w:rPr>
          <w:rFonts w:cs="Arial"/>
        </w:rPr>
        <w:t>Jordal</w:t>
      </w:r>
      <w:proofErr w:type="spellEnd"/>
      <w:r w:rsidRPr="00741B94">
        <w:rPr>
          <w:rFonts w:cs="Arial"/>
        </w:rPr>
        <w:t xml:space="preserve"> O, </w:t>
      </w:r>
      <w:proofErr w:type="spellStart"/>
      <w:r w:rsidRPr="00741B94">
        <w:rPr>
          <w:rFonts w:cs="Arial"/>
        </w:rPr>
        <w:t>Kierulf</w:t>
      </w:r>
      <w:proofErr w:type="spellEnd"/>
      <w:r w:rsidRPr="00741B94">
        <w:rPr>
          <w:rFonts w:cs="Arial"/>
        </w:rPr>
        <w:t xml:space="preserve"> P, </w:t>
      </w:r>
      <w:proofErr w:type="spellStart"/>
      <w:r w:rsidRPr="00741B94">
        <w:rPr>
          <w:rFonts w:cs="Arial"/>
        </w:rPr>
        <w:t>Sandstad</w:t>
      </w:r>
      <w:proofErr w:type="spellEnd"/>
      <w:r w:rsidRPr="00741B94">
        <w:rPr>
          <w:rFonts w:cs="Arial"/>
        </w:rPr>
        <w:t xml:space="preserve"> B, Pedersen JI (1995) Effects of partially hydrogenated fish oil, partially hydrogenated soybean oil, and butter on serum lipoproteins an</w:t>
      </w:r>
      <w:r w:rsidR="000C0778">
        <w:rPr>
          <w:rFonts w:cs="Arial"/>
        </w:rPr>
        <w:t xml:space="preserve">d </w:t>
      </w:r>
      <w:proofErr w:type="spellStart"/>
      <w:r w:rsidR="000C0778">
        <w:rPr>
          <w:rFonts w:cs="Arial"/>
        </w:rPr>
        <w:t>Lp</w:t>
      </w:r>
      <w:proofErr w:type="spellEnd"/>
      <w:r w:rsidR="000C0778">
        <w:rPr>
          <w:rFonts w:cs="Arial"/>
        </w:rPr>
        <w:t>[a] in men. J Lipid Res 36:1370–1384</w:t>
      </w:r>
    </w:p>
    <w:p w14:paraId="04A69009" w14:textId="77777777" w:rsidR="007D31D9" w:rsidRPr="00741B94" w:rsidRDefault="007D31D9" w:rsidP="00952C55">
      <w:pPr>
        <w:autoSpaceDE w:val="0"/>
        <w:autoSpaceDN w:val="0"/>
        <w:adjustRightInd w:val="0"/>
        <w:rPr>
          <w:rFonts w:cs="Arial"/>
        </w:rPr>
      </w:pPr>
    </w:p>
    <w:p w14:paraId="11629CBF" w14:textId="090097EF" w:rsidR="007D31D9" w:rsidRPr="00A326E6" w:rsidRDefault="007D31D9" w:rsidP="00952C55">
      <w:pPr>
        <w:autoSpaceDE w:val="0"/>
        <w:autoSpaceDN w:val="0"/>
        <w:adjustRightInd w:val="0"/>
        <w:rPr>
          <w:rFonts w:cs="Arial"/>
        </w:rPr>
      </w:pPr>
      <w:proofErr w:type="spellStart"/>
      <w:r w:rsidRPr="00741B94">
        <w:rPr>
          <w:rFonts w:cs="Arial"/>
        </w:rPr>
        <w:t>Aro</w:t>
      </w:r>
      <w:proofErr w:type="spellEnd"/>
      <w:r w:rsidRPr="00741B94">
        <w:rPr>
          <w:rFonts w:cs="Arial"/>
        </w:rPr>
        <w:t xml:space="preserve"> A, </w:t>
      </w:r>
      <w:proofErr w:type="spellStart"/>
      <w:r w:rsidRPr="00741B94">
        <w:rPr>
          <w:rFonts w:cs="Arial"/>
        </w:rPr>
        <w:t>Jauhiainen</w:t>
      </w:r>
      <w:proofErr w:type="spellEnd"/>
      <w:r w:rsidRPr="00741B94">
        <w:rPr>
          <w:rFonts w:cs="Arial"/>
        </w:rPr>
        <w:t xml:space="preserve"> M, </w:t>
      </w:r>
      <w:proofErr w:type="spellStart"/>
      <w:r w:rsidRPr="00741B94">
        <w:rPr>
          <w:rFonts w:cs="Arial"/>
        </w:rPr>
        <w:t>Partanen</w:t>
      </w:r>
      <w:proofErr w:type="spellEnd"/>
      <w:r w:rsidRPr="00741B94">
        <w:rPr>
          <w:rFonts w:cs="Arial"/>
        </w:rPr>
        <w:t xml:space="preserve"> R, </w:t>
      </w:r>
      <w:proofErr w:type="spellStart"/>
      <w:r w:rsidRPr="00741B94">
        <w:rPr>
          <w:rFonts w:cs="Arial"/>
        </w:rPr>
        <w:t>Salminen</w:t>
      </w:r>
      <w:proofErr w:type="spellEnd"/>
      <w:r w:rsidRPr="00741B94">
        <w:rPr>
          <w:rFonts w:cs="Arial"/>
        </w:rPr>
        <w:t xml:space="preserve"> I, </w:t>
      </w:r>
      <w:proofErr w:type="spellStart"/>
      <w:r w:rsidRPr="00741B94">
        <w:rPr>
          <w:rFonts w:cs="Arial"/>
        </w:rPr>
        <w:t>Mutanen</w:t>
      </w:r>
      <w:proofErr w:type="spellEnd"/>
      <w:r w:rsidRPr="00741B94">
        <w:rPr>
          <w:rFonts w:cs="Arial"/>
        </w:rPr>
        <w:t xml:space="preserve"> M (1997) Stearic acid, trans f</w:t>
      </w:r>
      <w:r w:rsidRPr="00A326E6">
        <w:rPr>
          <w:rFonts w:cs="Arial"/>
        </w:rPr>
        <w:t>atty acids, and dairy fat: Effects on serum and lipoprotein lipids,</w:t>
      </w:r>
      <w:r w:rsidR="00096660" w:rsidRPr="00A326E6">
        <w:rPr>
          <w:rFonts w:cs="Arial"/>
        </w:rPr>
        <w:t xml:space="preserve"> </w:t>
      </w:r>
      <w:r w:rsidRPr="00A326E6">
        <w:rPr>
          <w:rFonts w:cs="Arial"/>
        </w:rPr>
        <w:t xml:space="preserve">apolipoproteins, </w:t>
      </w:r>
      <w:proofErr w:type="gramStart"/>
      <w:r w:rsidRPr="00A326E6">
        <w:rPr>
          <w:rFonts w:cs="Arial"/>
        </w:rPr>
        <w:t>lipoprotein(</w:t>
      </w:r>
      <w:proofErr w:type="gramEnd"/>
      <w:r w:rsidRPr="00A326E6">
        <w:rPr>
          <w:rFonts w:cs="Arial"/>
        </w:rPr>
        <w:t>a), and lipid transfer proteins in healthy subject</w:t>
      </w:r>
      <w:r w:rsidR="007E2015" w:rsidRPr="00A326E6">
        <w:rPr>
          <w:rFonts w:cs="Arial"/>
        </w:rPr>
        <w:t xml:space="preserve">s. </w:t>
      </w:r>
      <w:proofErr w:type="gramStart"/>
      <w:r w:rsidR="007E2015" w:rsidRPr="00A326E6">
        <w:rPr>
          <w:rFonts w:cs="Arial"/>
        </w:rPr>
        <w:t>Am</w:t>
      </w:r>
      <w:proofErr w:type="gramEnd"/>
      <w:r w:rsidR="007E2015" w:rsidRPr="00A326E6">
        <w:rPr>
          <w:rFonts w:cs="Arial"/>
        </w:rPr>
        <w:t xml:space="preserve"> J </w:t>
      </w:r>
      <w:proofErr w:type="spellStart"/>
      <w:r w:rsidR="007E2015" w:rsidRPr="00A326E6">
        <w:rPr>
          <w:rFonts w:cs="Arial"/>
        </w:rPr>
        <w:t>Clin</w:t>
      </w:r>
      <w:proofErr w:type="spellEnd"/>
      <w:r w:rsidR="007E2015" w:rsidRPr="00A326E6">
        <w:rPr>
          <w:rFonts w:cs="Arial"/>
        </w:rPr>
        <w:t xml:space="preserve"> </w:t>
      </w:r>
      <w:proofErr w:type="spellStart"/>
      <w:r w:rsidR="007E2015" w:rsidRPr="00A326E6">
        <w:rPr>
          <w:rFonts w:cs="Arial"/>
        </w:rPr>
        <w:t>Nutr</w:t>
      </w:r>
      <w:proofErr w:type="spellEnd"/>
      <w:r w:rsidR="007E2015" w:rsidRPr="00A326E6">
        <w:rPr>
          <w:rFonts w:cs="Arial"/>
        </w:rPr>
        <w:t xml:space="preserve"> 65:</w:t>
      </w:r>
      <w:r w:rsidR="000C0778" w:rsidRPr="00A326E6">
        <w:rPr>
          <w:rFonts w:cs="Arial"/>
        </w:rPr>
        <w:t>1419–1426</w:t>
      </w:r>
    </w:p>
    <w:p w14:paraId="5F8990AC" w14:textId="77777777" w:rsidR="00096660" w:rsidRPr="00A326E6" w:rsidRDefault="00096660" w:rsidP="00952C55">
      <w:pPr>
        <w:autoSpaceDE w:val="0"/>
        <w:autoSpaceDN w:val="0"/>
        <w:adjustRightInd w:val="0"/>
        <w:rPr>
          <w:rFonts w:cs="Arial"/>
        </w:rPr>
      </w:pPr>
    </w:p>
    <w:p w14:paraId="4AF6E4EF" w14:textId="6E67909B" w:rsidR="004D6A02" w:rsidRPr="00A326E6" w:rsidRDefault="00D32DB4" w:rsidP="004D6A02">
      <w:pPr>
        <w:autoSpaceDE w:val="0"/>
        <w:autoSpaceDN w:val="0"/>
        <w:adjustRightInd w:val="0"/>
        <w:rPr>
          <w:rFonts w:cs="Arial"/>
        </w:rPr>
      </w:pPr>
      <w:proofErr w:type="spellStart"/>
      <w:r w:rsidRPr="00A326E6">
        <w:rPr>
          <w:rFonts w:cs="Arial"/>
        </w:rPr>
        <w:t>Bendsen</w:t>
      </w:r>
      <w:proofErr w:type="spellEnd"/>
      <w:r w:rsidRPr="00A326E6">
        <w:rPr>
          <w:rFonts w:cs="Arial"/>
        </w:rPr>
        <w:t xml:space="preserve"> NT, </w:t>
      </w:r>
      <w:proofErr w:type="spellStart"/>
      <w:r w:rsidRPr="00A326E6">
        <w:rPr>
          <w:rFonts w:cs="Arial"/>
        </w:rPr>
        <w:t>Chabanova</w:t>
      </w:r>
      <w:proofErr w:type="spellEnd"/>
      <w:r w:rsidRPr="00A326E6">
        <w:rPr>
          <w:rFonts w:cs="Arial"/>
        </w:rPr>
        <w:t xml:space="preserve"> E, Thomsen HS</w:t>
      </w:r>
      <w:r w:rsidR="004D6A02" w:rsidRPr="00A326E6">
        <w:rPr>
          <w:rFonts w:cs="Arial"/>
        </w:rPr>
        <w:t xml:space="preserve">, </w:t>
      </w:r>
      <w:r w:rsidRPr="00A326E6">
        <w:rPr>
          <w:rFonts w:cs="Arial"/>
        </w:rPr>
        <w:t>Larsen TM, Newman JW</w:t>
      </w:r>
      <w:r w:rsidR="004D6A02" w:rsidRPr="00A326E6">
        <w:rPr>
          <w:rFonts w:cs="Arial"/>
        </w:rPr>
        <w:t xml:space="preserve">, </w:t>
      </w:r>
      <w:proofErr w:type="spellStart"/>
      <w:r w:rsidR="004D6A02" w:rsidRPr="00A326E6">
        <w:rPr>
          <w:rFonts w:cs="Arial"/>
        </w:rPr>
        <w:t>Stende</w:t>
      </w:r>
      <w:r w:rsidRPr="00A326E6">
        <w:rPr>
          <w:rFonts w:cs="Arial"/>
        </w:rPr>
        <w:t>r</w:t>
      </w:r>
      <w:proofErr w:type="spellEnd"/>
      <w:r w:rsidRPr="00A326E6">
        <w:rPr>
          <w:rFonts w:cs="Arial"/>
        </w:rPr>
        <w:t xml:space="preserve"> S</w:t>
      </w:r>
      <w:r w:rsidR="00DB6F85" w:rsidRPr="00A326E6">
        <w:rPr>
          <w:rFonts w:cs="Arial"/>
        </w:rPr>
        <w:t xml:space="preserve">, </w:t>
      </w:r>
      <w:proofErr w:type="spellStart"/>
      <w:r w:rsidRPr="00A326E6">
        <w:rPr>
          <w:rFonts w:cs="Arial"/>
        </w:rPr>
        <w:t>Astrup</w:t>
      </w:r>
      <w:proofErr w:type="spellEnd"/>
      <w:r w:rsidRPr="00A326E6">
        <w:rPr>
          <w:rFonts w:cs="Arial"/>
        </w:rPr>
        <w:t xml:space="preserve"> A (2011)</w:t>
      </w:r>
      <w:r w:rsidR="004D6A02" w:rsidRPr="00A326E6">
        <w:rPr>
          <w:rFonts w:cs="Arial"/>
        </w:rPr>
        <w:t xml:space="preserve"> Effect of trans fatty acid intake on abdominal and liver fat deposition and blood lipids: A randomized trial in overweight postmenopausal women. </w:t>
      </w:r>
      <w:r w:rsidR="000C0778" w:rsidRPr="00A326E6">
        <w:rPr>
          <w:rFonts w:cs="Arial"/>
          <w:iCs/>
        </w:rPr>
        <w:t xml:space="preserve">Nutrition and Diabetes </w:t>
      </w:r>
      <w:r w:rsidR="004D6A02" w:rsidRPr="00A326E6">
        <w:rPr>
          <w:rFonts w:cs="Arial"/>
          <w:iCs/>
        </w:rPr>
        <w:t>1</w:t>
      </w:r>
      <w:r w:rsidR="000C0778" w:rsidRPr="00A326E6">
        <w:rPr>
          <w:rFonts w:cs="Arial"/>
        </w:rPr>
        <w:t>(1)</w:t>
      </w:r>
      <w:r w:rsidR="004D6A02" w:rsidRPr="00A326E6">
        <w:rPr>
          <w:rFonts w:cs="Arial"/>
        </w:rPr>
        <w:t xml:space="preserve"> </w:t>
      </w:r>
      <w:proofErr w:type="spellStart"/>
      <w:r w:rsidR="004D6A02" w:rsidRPr="00A326E6">
        <w:rPr>
          <w:rFonts w:cs="Arial"/>
        </w:rPr>
        <w:t>doi</w:t>
      </w:r>
      <w:proofErr w:type="spellEnd"/>
      <w:r w:rsidR="004D6A02" w:rsidRPr="00A326E6">
        <w:rPr>
          <w:rFonts w:cs="Arial"/>
        </w:rPr>
        <w:t xml:space="preserve">: </w:t>
      </w:r>
      <w:hyperlink r:id="rId24" w:history="1">
        <w:r w:rsidR="004D6A02" w:rsidRPr="00A326E6">
          <w:rPr>
            <w:rStyle w:val="Hyperlink"/>
            <w:rFonts w:cs="Arial"/>
            <w:color w:val="auto"/>
            <w:u w:val="none"/>
          </w:rPr>
          <w:t>http://dx.doi.org/10.1038/nutd.2010.4</w:t>
        </w:r>
      </w:hyperlink>
      <w:r w:rsidR="004D6A02" w:rsidRPr="00A326E6">
        <w:rPr>
          <w:rFonts w:cs="Arial"/>
        </w:rPr>
        <w:t xml:space="preserve"> </w:t>
      </w:r>
    </w:p>
    <w:p w14:paraId="733751AF" w14:textId="77777777" w:rsidR="004D6A02" w:rsidRPr="00A326E6" w:rsidRDefault="004D6A02" w:rsidP="004D6A02">
      <w:pPr>
        <w:autoSpaceDE w:val="0"/>
        <w:autoSpaceDN w:val="0"/>
        <w:adjustRightInd w:val="0"/>
        <w:rPr>
          <w:rFonts w:cs="Arial"/>
        </w:rPr>
      </w:pPr>
    </w:p>
    <w:p w14:paraId="74B881A6" w14:textId="4C6CF008" w:rsidR="00A167FD" w:rsidRPr="00A326E6" w:rsidRDefault="00A167FD" w:rsidP="00A167FD">
      <w:pPr>
        <w:autoSpaceDE w:val="0"/>
        <w:autoSpaceDN w:val="0"/>
        <w:adjustRightInd w:val="0"/>
        <w:rPr>
          <w:rFonts w:cs="Arial"/>
          <w:lang w:val="en"/>
        </w:rPr>
      </w:pPr>
      <w:proofErr w:type="spellStart"/>
      <w:r w:rsidRPr="00A326E6">
        <w:rPr>
          <w:rFonts w:cs="Arial"/>
        </w:rPr>
        <w:t>Brouwer</w:t>
      </w:r>
      <w:proofErr w:type="spellEnd"/>
      <w:r w:rsidRPr="00A326E6">
        <w:rPr>
          <w:rFonts w:cs="Arial"/>
        </w:rPr>
        <w:t xml:space="preserve"> IA, Wanders</w:t>
      </w:r>
      <w:r w:rsidR="00433834" w:rsidRPr="00A326E6">
        <w:rPr>
          <w:rFonts w:cs="Arial"/>
        </w:rPr>
        <w:t xml:space="preserve"> AJ, </w:t>
      </w:r>
      <w:proofErr w:type="spellStart"/>
      <w:r w:rsidR="00433834" w:rsidRPr="00A326E6">
        <w:rPr>
          <w:rFonts w:cs="Arial"/>
        </w:rPr>
        <w:t>Katan</w:t>
      </w:r>
      <w:proofErr w:type="spellEnd"/>
      <w:r w:rsidR="00433834" w:rsidRPr="00A326E6">
        <w:rPr>
          <w:rFonts w:cs="Arial"/>
        </w:rPr>
        <w:t xml:space="preserve"> MB (2010) Effect of animal and industrial </w:t>
      </w:r>
      <w:proofErr w:type="gramStart"/>
      <w:r w:rsidR="00433834" w:rsidRPr="00A326E6">
        <w:rPr>
          <w:rFonts w:cs="Arial"/>
        </w:rPr>
        <w:t>trans</w:t>
      </w:r>
      <w:proofErr w:type="gramEnd"/>
      <w:r w:rsidR="00433834" w:rsidRPr="00A326E6">
        <w:rPr>
          <w:rFonts w:cs="Arial"/>
        </w:rPr>
        <w:t xml:space="preserve"> </w:t>
      </w:r>
      <w:proofErr w:type="spellStart"/>
      <w:r w:rsidR="00433834" w:rsidRPr="00A326E6">
        <w:rPr>
          <w:rFonts w:cs="Arial"/>
        </w:rPr>
        <w:t>eatty</w:t>
      </w:r>
      <w:proofErr w:type="spellEnd"/>
      <w:r w:rsidR="00433834" w:rsidRPr="00A326E6">
        <w:rPr>
          <w:rFonts w:cs="Arial"/>
        </w:rPr>
        <w:t xml:space="preserve"> a</w:t>
      </w:r>
      <w:r w:rsidRPr="00A326E6">
        <w:rPr>
          <w:rFonts w:cs="Arial"/>
        </w:rPr>
        <w:t xml:space="preserve">cids on </w:t>
      </w:r>
      <w:r w:rsidR="00433834" w:rsidRPr="00A326E6">
        <w:rPr>
          <w:rFonts w:cs="Arial"/>
        </w:rPr>
        <w:t>HDL and LDL cholesterol levels in humans – a quantitative r</w:t>
      </w:r>
      <w:r w:rsidRPr="00A326E6">
        <w:rPr>
          <w:rFonts w:cs="Arial"/>
        </w:rPr>
        <w:t xml:space="preserve">eview. </w:t>
      </w:r>
      <w:proofErr w:type="spellStart"/>
      <w:r w:rsidRPr="00A326E6">
        <w:rPr>
          <w:rFonts w:cs="Arial"/>
        </w:rPr>
        <w:t>PLoS</w:t>
      </w:r>
      <w:proofErr w:type="spellEnd"/>
      <w:r w:rsidRPr="00A326E6">
        <w:rPr>
          <w:rFonts w:cs="Arial"/>
        </w:rPr>
        <w:t xml:space="preserve"> ONE 5(3): e9434. doi:10.1371/journal.pone.0009434.  Corrected in </w:t>
      </w:r>
      <w:proofErr w:type="spellStart"/>
      <w:r w:rsidRPr="00A326E6">
        <w:rPr>
          <w:rFonts w:cs="Arial"/>
          <w:lang w:val="en"/>
        </w:rPr>
        <w:t>Brouwer</w:t>
      </w:r>
      <w:proofErr w:type="spellEnd"/>
      <w:r w:rsidRPr="00A326E6">
        <w:rPr>
          <w:rFonts w:cs="Arial"/>
          <w:lang w:val="en"/>
        </w:rPr>
        <w:t xml:space="preserve"> IA, Wanders AJ, </w:t>
      </w:r>
      <w:proofErr w:type="spellStart"/>
      <w:r w:rsidRPr="00A326E6">
        <w:rPr>
          <w:rFonts w:cs="Arial"/>
          <w:lang w:val="en"/>
        </w:rPr>
        <w:t>Katan</w:t>
      </w:r>
      <w:proofErr w:type="spellEnd"/>
      <w:r w:rsidRPr="00A326E6">
        <w:rPr>
          <w:rFonts w:cs="Arial"/>
          <w:lang w:val="en"/>
        </w:rPr>
        <w:t xml:space="preserve"> MB (2010)</w:t>
      </w:r>
      <w:r w:rsidR="00433834" w:rsidRPr="00A326E6">
        <w:rPr>
          <w:rFonts w:cs="Arial"/>
          <w:lang w:val="en"/>
        </w:rPr>
        <w:t xml:space="preserve"> Correction: effect of animal and i</w:t>
      </w:r>
      <w:r w:rsidRPr="00A326E6">
        <w:rPr>
          <w:rFonts w:cs="Arial"/>
          <w:lang w:val="en"/>
        </w:rPr>
        <w:t xml:space="preserve">ndustrial </w:t>
      </w:r>
      <w:proofErr w:type="gramStart"/>
      <w:r w:rsidR="00433834" w:rsidRPr="00A326E6">
        <w:rPr>
          <w:rStyle w:val="Emphasis"/>
          <w:rFonts w:cs="Arial"/>
          <w:lang w:val="en"/>
        </w:rPr>
        <w:t>t</w:t>
      </w:r>
      <w:r w:rsidRPr="00A326E6">
        <w:rPr>
          <w:rStyle w:val="Emphasis"/>
          <w:rFonts w:cs="Arial"/>
          <w:lang w:val="en"/>
        </w:rPr>
        <w:t>rans</w:t>
      </w:r>
      <w:proofErr w:type="gramEnd"/>
      <w:r w:rsidR="00433834" w:rsidRPr="00A326E6">
        <w:rPr>
          <w:rFonts w:cs="Arial"/>
          <w:lang w:val="en"/>
        </w:rPr>
        <w:t xml:space="preserve"> fatty acids on HDL and LDL cholesterol levels in humans – a quantitative r</w:t>
      </w:r>
      <w:r w:rsidRPr="00A326E6">
        <w:rPr>
          <w:rFonts w:cs="Arial"/>
          <w:lang w:val="en"/>
        </w:rPr>
        <w:t xml:space="preserve">eview. </w:t>
      </w:r>
      <w:proofErr w:type="spellStart"/>
      <w:r w:rsidRPr="00A326E6">
        <w:rPr>
          <w:rFonts w:cs="Arial"/>
          <w:lang w:val="en"/>
        </w:rPr>
        <w:t>PLoS</w:t>
      </w:r>
      <w:proofErr w:type="spellEnd"/>
      <w:r w:rsidRPr="00A326E6">
        <w:rPr>
          <w:rFonts w:cs="Arial"/>
          <w:lang w:val="en"/>
        </w:rPr>
        <w:t xml:space="preserve"> ONE 5(10): 10.1371/annotation/c4cf3127-89b2-4d58-abf3-ab0746342a90. doi:10.1371/annotation/c4cf3127-89b2-4d58-abf3-ab0746342a90</w:t>
      </w:r>
    </w:p>
    <w:p w14:paraId="6552C23A" w14:textId="77777777" w:rsidR="00A167FD" w:rsidRPr="00A326E6" w:rsidRDefault="00A167FD" w:rsidP="001C59FC">
      <w:pPr>
        <w:rPr>
          <w:rFonts w:cs="Arial"/>
          <w:lang w:eastAsia="en-AU"/>
        </w:rPr>
      </w:pPr>
    </w:p>
    <w:p w14:paraId="32F20DE7" w14:textId="6EDCE5DC" w:rsidR="00A167FD" w:rsidRPr="00A326E6" w:rsidRDefault="00A167FD" w:rsidP="00952C55">
      <w:pPr>
        <w:autoSpaceDE w:val="0"/>
        <w:autoSpaceDN w:val="0"/>
        <w:adjustRightInd w:val="0"/>
        <w:rPr>
          <w:rFonts w:cs="Arial"/>
        </w:rPr>
      </w:pPr>
      <w:proofErr w:type="spellStart"/>
      <w:r w:rsidRPr="00A326E6">
        <w:rPr>
          <w:rFonts w:cs="Arial"/>
        </w:rPr>
        <w:t>Chardigny</w:t>
      </w:r>
      <w:proofErr w:type="spellEnd"/>
      <w:r w:rsidRPr="00A326E6">
        <w:rPr>
          <w:rFonts w:cs="Arial"/>
        </w:rPr>
        <w:t xml:space="preserve"> JM, </w:t>
      </w:r>
      <w:proofErr w:type="spellStart"/>
      <w:r w:rsidRPr="00A326E6">
        <w:rPr>
          <w:rFonts w:cs="Arial"/>
        </w:rPr>
        <w:t>Destaillats</w:t>
      </w:r>
      <w:proofErr w:type="spellEnd"/>
      <w:r w:rsidRPr="00A326E6">
        <w:rPr>
          <w:rFonts w:cs="Arial"/>
        </w:rPr>
        <w:t xml:space="preserve"> F, </w:t>
      </w:r>
      <w:proofErr w:type="spellStart"/>
      <w:r w:rsidRPr="00A326E6">
        <w:rPr>
          <w:rFonts w:cs="Arial"/>
        </w:rPr>
        <w:t>Malpuech-Brugere</w:t>
      </w:r>
      <w:proofErr w:type="spellEnd"/>
      <w:r w:rsidRPr="00A326E6">
        <w:rPr>
          <w:rFonts w:cs="Arial"/>
        </w:rPr>
        <w:t xml:space="preserve"> C, Moulin J, Bauman DE, </w:t>
      </w:r>
      <w:r w:rsidR="001C72E4" w:rsidRPr="00A326E6">
        <w:rPr>
          <w:rFonts w:cs="Arial"/>
        </w:rPr>
        <w:t xml:space="preserve">Lock AL, </w:t>
      </w:r>
      <w:proofErr w:type="spellStart"/>
      <w:r w:rsidR="001C72E4" w:rsidRPr="00A326E6">
        <w:rPr>
          <w:rFonts w:cs="Arial"/>
        </w:rPr>
        <w:t>Barbano</w:t>
      </w:r>
      <w:proofErr w:type="spellEnd"/>
      <w:r w:rsidR="001C72E4" w:rsidRPr="00A326E6">
        <w:rPr>
          <w:rFonts w:cs="Arial"/>
        </w:rPr>
        <w:t xml:space="preserve"> DM, </w:t>
      </w:r>
      <w:proofErr w:type="spellStart"/>
      <w:r w:rsidR="001C72E4" w:rsidRPr="00A326E6">
        <w:rPr>
          <w:rFonts w:cs="Arial"/>
        </w:rPr>
        <w:t>Mensink</w:t>
      </w:r>
      <w:proofErr w:type="spellEnd"/>
      <w:r w:rsidR="001C72E4" w:rsidRPr="00A326E6">
        <w:rPr>
          <w:rFonts w:cs="Arial"/>
        </w:rPr>
        <w:t xml:space="preserve"> RP, </w:t>
      </w:r>
      <w:proofErr w:type="spellStart"/>
      <w:r w:rsidR="001C72E4" w:rsidRPr="00A326E6">
        <w:rPr>
          <w:rFonts w:cs="Arial"/>
        </w:rPr>
        <w:t>Bezelgues</w:t>
      </w:r>
      <w:proofErr w:type="spellEnd"/>
      <w:r w:rsidR="001C72E4" w:rsidRPr="00A326E6">
        <w:rPr>
          <w:rFonts w:cs="Arial"/>
        </w:rPr>
        <w:t xml:space="preserve"> JB, Chaumont P, Combe N, </w:t>
      </w:r>
      <w:proofErr w:type="spellStart"/>
      <w:r w:rsidR="001C72E4" w:rsidRPr="00A326E6">
        <w:rPr>
          <w:rFonts w:cs="Arial"/>
        </w:rPr>
        <w:t>Cristiani</w:t>
      </w:r>
      <w:proofErr w:type="spellEnd"/>
      <w:r w:rsidR="001C72E4" w:rsidRPr="00A326E6">
        <w:rPr>
          <w:rFonts w:cs="Arial"/>
        </w:rPr>
        <w:t xml:space="preserve"> I, Joffre F, German JB, </w:t>
      </w:r>
      <w:proofErr w:type="spellStart"/>
      <w:r w:rsidR="001C72E4" w:rsidRPr="00A326E6">
        <w:rPr>
          <w:rFonts w:cs="Arial"/>
        </w:rPr>
        <w:t>Dionisi</w:t>
      </w:r>
      <w:proofErr w:type="spellEnd"/>
      <w:r w:rsidR="001C72E4" w:rsidRPr="00A326E6">
        <w:rPr>
          <w:rFonts w:cs="Arial"/>
        </w:rPr>
        <w:t xml:space="preserve"> F, </w:t>
      </w:r>
      <w:proofErr w:type="spellStart"/>
      <w:r w:rsidR="001C72E4" w:rsidRPr="00A326E6">
        <w:rPr>
          <w:rFonts w:cs="Arial"/>
        </w:rPr>
        <w:t>Boirie</w:t>
      </w:r>
      <w:proofErr w:type="spellEnd"/>
      <w:r w:rsidR="001C72E4" w:rsidRPr="00A326E6">
        <w:rPr>
          <w:rFonts w:cs="Arial"/>
        </w:rPr>
        <w:t xml:space="preserve"> Y, </w:t>
      </w:r>
      <w:proofErr w:type="spellStart"/>
      <w:r w:rsidR="001C72E4" w:rsidRPr="00A326E6">
        <w:rPr>
          <w:rFonts w:cs="Arial"/>
        </w:rPr>
        <w:t>Sébédio</w:t>
      </w:r>
      <w:proofErr w:type="spellEnd"/>
      <w:r w:rsidR="001C72E4" w:rsidRPr="00A326E6">
        <w:rPr>
          <w:rFonts w:cs="Arial"/>
        </w:rPr>
        <w:t xml:space="preserve"> JL </w:t>
      </w:r>
      <w:r w:rsidRPr="00A326E6">
        <w:rPr>
          <w:rFonts w:cs="Arial"/>
        </w:rPr>
        <w:t xml:space="preserve">(2008) Do trans fatty acids from industrially produced sources and from natural sources have the same effect on cardiovascular disease risk factors in healthy subjects? Results of the </w:t>
      </w:r>
      <w:proofErr w:type="gramStart"/>
      <w:r w:rsidRPr="00A326E6">
        <w:rPr>
          <w:rFonts w:cs="Arial"/>
        </w:rPr>
        <w:t>trans</w:t>
      </w:r>
      <w:proofErr w:type="gramEnd"/>
      <w:r w:rsidRPr="00A326E6">
        <w:rPr>
          <w:rFonts w:cs="Arial"/>
        </w:rPr>
        <w:t xml:space="preserve"> Fatty Acids Collaboration (TRANSFACT) st</w:t>
      </w:r>
      <w:r w:rsidR="007E2015" w:rsidRPr="00A326E6">
        <w:rPr>
          <w:rFonts w:cs="Arial"/>
        </w:rPr>
        <w:t xml:space="preserve">udy. </w:t>
      </w:r>
      <w:r w:rsidR="00202CF8">
        <w:rPr>
          <w:rFonts w:cs="Arial"/>
        </w:rPr>
        <w:t xml:space="preserve"> </w:t>
      </w:r>
      <w:proofErr w:type="gramStart"/>
      <w:r w:rsidR="007E2015" w:rsidRPr="00A326E6">
        <w:rPr>
          <w:rFonts w:cs="Arial"/>
        </w:rPr>
        <w:t>Am</w:t>
      </w:r>
      <w:proofErr w:type="gramEnd"/>
      <w:r w:rsidR="007E2015" w:rsidRPr="00A326E6">
        <w:rPr>
          <w:rFonts w:cs="Arial"/>
        </w:rPr>
        <w:t xml:space="preserve"> J </w:t>
      </w:r>
      <w:proofErr w:type="spellStart"/>
      <w:r w:rsidR="007E2015" w:rsidRPr="00A326E6">
        <w:rPr>
          <w:rFonts w:cs="Arial"/>
        </w:rPr>
        <w:t>Clin</w:t>
      </w:r>
      <w:proofErr w:type="spellEnd"/>
      <w:r w:rsidR="007E2015" w:rsidRPr="00A326E6">
        <w:rPr>
          <w:rFonts w:cs="Arial"/>
        </w:rPr>
        <w:t xml:space="preserve"> </w:t>
      </w:r>
      <w:proofErr w:type="spellStart"/>
      <w:r w:rsidR="007E2015" w:rsidRPr="00A326E6">
        <w:rPr>
          <w:rFonts w:cs="Arial"/>
        </w:rPr>
        <w:t>Nutr</w:t>
      </w:r>
      <w:proofErr w:type="spellEnd"/>
      <w:r w:rsidR="007E2015" w:rsidRPr="00A326E6">
        <w:rPr>
          <w:rFonts w:cs="Arial"/>
        </w:rPr>
        <w:t xml:space="preserve"> 87:</w:t>
      </w:r>
      <w:r w:rsidR="000C0778" w:rsidRPr="00A326E6">
        <w:rPr>
          <w:rFonts w:cs="Arial"/>
        </w:rPr>
        <w:t>558–566</w:t>
      </w:r>
    </w:p>
    <w:p w14:paraId="0B0C20CD" w14:textId="77777777" w:rsidR="00A167FD" w:rsidRPr="00A326E6" w:rsidRDefault="00A167FD" w:rsidP="00952C55">
      <w:pPr>
        <w:autoSpaceDE w:val="0"/>
        <w:autoSpaceDN w:val="0"/>
        <w:adjustRightInd w:val="0"/>
        <w:rPr>
          <w:rFonts w:cs="Arial"/>
        </w:rPr>
      </w:pPr>
    </w:p>
    <w:p w14:paraId="6B530FB1" w14:textId="64E8EB00" w:rsidR="007D31D9" w:rsidRPr="00A326E6" w:rsidRDefault="007D31D9" w:rsidP="00952C55">
      <w:pPr>
        <w:autoSpaceDE w:val="0"/>
        <w:autoSpaceDN w:val="0"/>
        <w:adjustRightInd w:val="0"/>
        <w:rPr>
          <w:rFonts w:cs="Arial"/>
        </w:rPr>
      </w:pPr>
      <w:r w:rsidRPr="00A326E6">
        <w:rPr>
          <w:rFonts w:cs="Arial"/>
        </w:rPr>
        <w:t xml:space="preserve">de </w:t>
      </w:r>
      <w:proofErr w:type="spellStart"/>
      <w:r w:rsidRPr="00A326E6">
        <w:rPr>
          <w:rFonts w:cs="Arial"/>
        </w:rPr>
        <w:t>Roos</w:t>
      </w:r>
      <w:proofErr w:type="spellEnd"/>
      <w:r w:rsidRPr="00A326E6">
        <w:rPr>
          <w:rFonts w:cs="Arial"/>
        </w:rPr>
        <w:t xml:space="preserve"> N, Schouten E, </w:t>
      </w:r>
      <w:proofErr w:type="spellStart"/>
      <w:r w:rsidRPr="00A326E6">
        <w:rPr>
          <w:rFonts w:cs="Arial"/>
        </w:rPr>
        <w:t>Katan</w:t>
      </w:r>
      <w:proofErr w:type="spellEnd"/>
      <w:r w:rsidRPr="00A326E6">
        <w:rPr>
          <w:rFonts w:cs="Arial"/>
        </w:rPr>
        <w:t xml:space="preserve"> M (2001) Consumption of a solid fat rich in </w:t>
      </w:r>
      <w:proofErr w:type="spellStart"/>
      <w:r w:rsidRPr="00A326E6">
        <w:rPr>
          <w:rFonts w:cs="Arial"/>
        </w:rPr>
        <w:t>lauric</w:t>
      </w:r>
      <w:proofErr w:type="spellEnd"/>
      <w:r w:rsidRPr="00A326E6">
        <w:rPr>
          <w:rFonts w:cs="Arial"/>
        </w:rPr>
        <w:t xml:space="preserve"> acid results in a more </w:t>
      </w:r>
      <w:proofErr w:type="spellStart"/>
      <w:r w:rsidRPr="00A326E6">
        <w:rPr>
          <w:rFonts w:cs="Arial"/>
        </w:rPr>
        <w:t>favorable</w:t>
      </w:r>
      <w:proofErr w:type="spellEnd"/>
      <w:r w:rsidRPr="00A326E6">
        <w:rPr>
          <w:rFonts w:cs="Arial"/>
        </w:rPr>
        <w:t xml:space="preserve"> serum lipid profile in healthy men and women than consumption of a solid fat rich in trans-f</w:t>
      </w:r>
      <w:r w:rsidR="007E2015" w:rsidRPr="00A326E6">
        <w:rPr>
          <w:rFonts w:cs="Arial"/>
        </w:rPr>
        <w:t xml:space="preserve">atty acids. J </w:t>
      </w:r>
      <w:proofErr w:type="spellStart"/>
      <w:r w:rsidR="007E2015" w:rsidRPr="00A326E6">
        <w:rPr>
          <w:rFonts w:cs="Arial"/>
        </w:rPr>
        <w:t>Nutr</w:t>
      </w:r>
      <w:proofErr w:type="spellEnd"/>
      <w:r w:rsidR="007E2015" w:rsidRPr="00A326E6">
        <w:rPr>
          <w:rFonts w:cs="Arial"/>
        </w:rPr>
        <w:t xml:space="preserve"> 131:</w:t>
      </w:r>
      <w:r w:rsidR="000C0778" w:rsidRPr="00A326E6">
        <w:rPr>
          <w:rFonts w:cs="Arial"/>
        </w:rPr>
        <w:t>242–245</w:t>
      </w:r>
    </w:p>
    <w:p w14:paraId="6C8DF47B" w14:textId="77777777" w:rsidR="007D31D9" w:rsidRPr="00A326E6" w:rsidRDefault="007D31D9" w:rsidP="00952C55">
      <w:pPr>
        <w:autoSpaceDE w:val="0"/>
        <w:autoSpaceDN w:val="0"/>
        <w:adjustRightInd w:val="0"/>
        <w:rPr>
          <w:rFonts w:cs="Arial"/>
        </w:rPr>
      </w:pPr>
    </w:p>
    <w:p w14:paraId="1CE90434" w14:textId="1DA31340" w:rsidR="007D31D9" w:rsidRPr="00A326E6" w:rsidRDefault="007D31D9" w:rsidP="00952C55">
      <w:pPr>
        <w:autoSpaceDE w:val="0"/>
        <w:autoSpaceDN w:val="0"/>
        <w:adjustRightInd w:val="0"/>
        <w:rPr>
          <w:rFonts w:cs="Arial"/>
        </w:rPr>
      </w:pPr>
      <w:proofErr w:type="spellStart"/>
      <w:r w:rsidRPr="00A326E6">
        <w:rPr>
          <w:rFonts w:cs="Arial"/>
        </w:rPr>
        <w:t>Desroches</w:t>
      </w:r>
      <w:proofErr w:type="spellEnd"/>
      <w:r w:rsidRPr="00A326E6">
        <w:rPr>
          <w:rFonts w:cs="Arial"/>
        </w:rPr>
        <w:t xml:space="preserve"> S, </w:t>
      </w:r>
      <w:proofErr w:type="spellStart"/>
      <w:r w:rsidRPr="00A326E6">
        <w:rPr>
          <w:rFonts w:cs="Arial"/>
        </w:rPr>
        <w:t>Chouinard</w:t>
      </w:r>
      <w:proofErr w:type="spellEnd"/>
      <w:r w:rsidRPr="00A326E6">
        <w:rPr>
          <w:rFonts w:cs="Arial"/>
        </w:rPr>
        <w:t xml:space="preserve"> PY, </w:t>
      </w:r>
      <w:proofErr w:type="spellStart"/>
      <w:r w:rsidRPr="00A326E6">
        <w:rPr>
          <w:rFonts w:cs="Arial"/>
        </w:rPr>
        <w:t>Galibois</w:t>
      </w:r>
      <w:proofErr w:type="spellEnd"/>
      <w:r w:rsidRPr="00A326E6">
        <w:rPr>
          <w:rFonts w:cs="Arial"/>
        </w:rPr>
        <w:t xml:space="preserve"> I, </w:t>
      </w:r>
      <w:proofErr w:type="spellStart"/>
      <w:r w:rsidRPr="00A326E6">
        <w:rPr>
          <w:rFonts w:cs="Arial"/>
        </w:rPr>
        <w:t>Corneau</w:t>
      </w:r>
      <w:proofErr w:type="spellEnd"/>
      <w:r w:rsidRPr="00A326E6">
        <w:rPr>
          <w:rFonts w:cs="Arial"/>
        </w:rPr>
        <w:t xml:space="preserve"> L, </w:t>
      </w:r>
      <w:proofErr w:type="spellStart"/>
      <w:r w:rsidRPr="00A326E6">
        <w:rPr>
          <w:rFonts w:cs="Arial"/>
        </w:rPr>
        <w:t>Delisle</w:t>
      </w:r>
      <w:proofErr w:type="spellEnd"/>
      <w:r w:rsidRPr="00A326E6">
        <w:rPr>
          <w:rFonts w:cs="Arial"/>
        </w:rPr>
        <w:t xml:space="preserve"> J,</w:t>
      </w:r>
      <w:r w:rsidR="001C72E4" w:rsidRPr="00A326E6">
        <w:rPr>
          <w:rFonts w:cs="Arial"/>
        </w:rPr>
        <w:t xml:space="preserve"> </w:t>
      </w:r>
      <w:hyperlink r:id="rId25" w:history="1">
        <w:proofErr w:type="spellStart"/>
        <w:r w:rsidR="001C72E4" w:rsidRPr="00A326E6">
          <w:rPr>
            <w:rFonts w:cs="Arial"/>
          </w:rPr>
          <w:t>Lamarche</w:t>
        </w:r>
        <w:proofErr w:type="spellEnd"/>
        <w:r w:rsidR="001C72E4" w:rsidRPr="00A326E6">
          <w:rPr>
            <w:rFonts w:cs="Arial"/>
          </w:rPr>
          <w:t xml:space="preserve"> B</w:t>
        </w:r>
      </w:hyperlink>
      <w:r w:rsidR="001C72E4" w:rsidRPr="00A326E6">
        <w:rPr>
          <w:rFonts w:cs="Arial"/>
        </w:rPr>
        <w:t xml:space="preserve">, </w:t>
      </w:r>
      <w:hyperlink r:id="rId26" w:history="1">
        <w:r w:rsidR="001C72E4" w:rsidRPr="00A326E6">
          <w:rPr>
            <w:rFonts w:cs="Arial"/>
          </w:rPr>
          <w:t>Couture P</w:t>
        </w:r>
      </w:hyperlink>
      <w:r w:rsidR="001C72E4" w:rsidRPr="00A326E6">
        <w:rPr>
          <w:rFonts w:cs="Arial"/>
        </w:rPr>
        <w:t xml:space="preserve">, </w:t>
      </w:r>
      <w:hyperlink r:id="rId27" w:history="1">
        <w:r w:rsidR="001C72E4" w:rsidRPr="00A326E6">
          <w:rPr>
            <w:rFonts w:cs="Arial"/>
          </w:rPr>
          <w:t xml:space="preserve">Bergeron </w:t>
        </w:r>
        <w:proofErr w:type="spellStart"/>
        <w:r w:rsidR="001C72E4" w:rsidRPr="00A326E6">
          <w:rPr>
            <w:rFonts w:cs="Arial"/>
          </w:rPr>
          <w:t>N</w:t>
        </w:r>
      </w:hyperlink>
      <w:r w:rsidR="00D32DB4" w:rsidRPr="00A326E6">
        <w:rPr>
          <w:rFonts w:cs="Arial"/>
          <w:highlight w:val="yellow"/>
        </w:rPr>
        <w:t>l</w:t>
      </w:r>
      <w:proofErr w:type="spellEnd"/>
      <w:r w:rsidRPr="00A326E6">
        <w:rPr>
          <w:rFonts w:cs="Arial"/>
        </w:rPr>
        <w:t xml:space="preserve"> (2005) Lack of effect of dietary conjugated linoleic acids naturally incorporated into butter on the lipid profile and body composition of overweight and obese m</w:t>
      </w:r>
      <w:r w:rsidR="000C0778" w:rsidRPr="00A326E6">
        <w:rPr>
          <w:rFonts w:cs="Arial"/>
        </w:rPr>
        <w:t xml:space="preserve">en. </w:t>
      </w:r>
      <w:proofErr w:type="gramStart"/>
      <w:r w:rsidR="000C0778" w:rsidRPr="00A326E6">
        <w:rPr>
          <w:rFonts w:cs="Arial"/>
        </w:rPr>
        <w:t>Am</w:t>
      </w:r>
      <w:proofErr w:type="gramEnd"/>
      <w:r w:rsidR="000C0778" w:rsidRPr="00A326E6">
        <w:rPr>
          <w:rFonts w:cs="Arial"/>
        </w:rPr>
        <w:t xml:space="preserve"> J </w:t>
      </w:r>
      <w:proofErr w:type="spellStart"/>
      <w:r w:rsidR="000C0778" w:rsidRPr="00A326E6">
        <w:rPr>
          <w:rFonts w:cs="Arial"/>
        </w:rPr>
        <w:t>Clin</w:t>
      </w:r>
      <w:proofErr w:type="spellEnd"/>
      <w:r w:rsidR="000C0778" w:rsidRPr="00A326E6">
        <w:rPr>
          <w:rFonts w:cs="Arial"/>
        </w:rPr>
        <w:t xml:space="preserve"> </w:t>
      </w:r>
      <w:proofErr w:type="spellStart"/>
      <w:r w:rsidR="000C0778" w:rsidRPr="00A326E6">
        <w:rPr>
          <w:rFonts w:cs="Arial"/>
        </w:rPr>
        <w:t>Nutr</w:t>
      </w:r>
      <w:proofErr w:type="spellEnd"/>
      <w:r w:rsidR="007E2015" w:rsidRPr="00A326E6">
        <w:rPr>
          <w:rFonts w:cs="Arial"/>
        </w:rPr>
        <w:t xml:space="preserve"> 82:</w:t>
      </w:r>
      <w:r w:rsidR="000C0778" w:rsidRPr="00A326E6">
        <w:rPr>
          <w:rFonts w:cs="Arial"/>
        </w:rPr>
        <w:t>309–319</w:t>
      </w:r>
    </w:p>
    <w:p w14:paraId="3252F990" w14:textId="77777777" w:rsidR="007D31D9" w:rsidRPr="00A326E6" w:rsidRDefault="007D31D9" w:rsidP="00952C55">
      <w:pPr>
        <w:autoSpaceDE w:val="0"/>
        <w:autoSpaceDN w:val="0"/>
        <w:adjustRightInd w:val="0"/>
        <w:rPr>
          <w:rFonts w:cs="Arial"/>
        </w:rPr>
      </w:pPr>
    </w:p>
    <w:p w14:paraId="343CC568" w14:textId="39A0F5DF" w:rsidR="007D31D9" w:rsidRPr="00A326E6" w:rsidRDefault="007D31D9" w:rsidP="00952C55">
      <w:pPr>
        <w:autoSpaceDE w:val="0"/>
        <w:autoSpaceDN w:val="0"/>
        <w:adjustRightInd w:val="0"/>
        <w:rPr>
          <w:rFonts w:cs="Arial"/>
        </w:rPr>
      </w:pPr>
      <w:proofErr w:type="spellStart"/>
      <w:r w:rsidRPr="00A326E6">
        <w:rPr>
          <w:rFonts w:cs="Arial"/>
        </w:rPr>
        <w:t>Dyerberg</w:t>
      </w:r>
      <w:proofErr w:type="spellEnd"/>
      <w:r w:rsidRPr="00A326E6">
        <w:rPr>
          <w:rFonts w:cs="Arial"/>
        </w:rPr>
        <w:t xml:space="preserve"> J, </w:t>
      </w:r>
      <w:proofErr w:type="spellStart"/>
      <w:r w:rsidRPr="00A326E6">
        <w:rPr>
          <w:rFonts w:cs="Arial"/>
        </w:rPr>
        <w:t>Eskesen</w:t>
      </w:r>
      <w:proofErr w:type="spellEnd"/>
      <w:r w:rsidRPr="00A326E6">
        <w:rPr>
          <w:rFonts w:cs="Arial"/>
        </w:rPr>
        <w:t xml:space="preserve"> DC, Andersen PW, </w:t>
      </w:r>
      <w:proofErr w:type="spellStart"/>
      <w:r w:rsidRPr="00A326E6">
        <w:rPr>
          <w:rFonts w:cs="Arial"/>
        </w:rPr>
        <w:t>Astrup</w:t>
      </w:r>
      <w:proofErr w:type="spellEnd"/>
      <w:r w:rsidRPr="00A326E6">
        <w:rPr>
          <w:rFonts w:cs="Arial"/>
        </w:rPr>
        <w:t xml:space="preserve"> A, </w:t>
      </w:r>
      <w:proofErr w:type="spellStart"/>
      <w:r w:rsidRPr="00A326E6">
        <w:rPr>
          <w:rFonts w:cs="Arial"/>
        </w:rPr>
        <w:t>Buemann</w:t>
      </w:r>
      <w:proofErr w:type="spellEnd"/>
      <w:r w:rsidRPr="00A326E6">
        <w:rPr>
          <w:rFonts w:cs="Arial"/>
        </w:rPr>
        <w:t xml:space="preserve"> B, </w:t>
      </w:r>
      <w:hyperlink r:id="rId28" w:history="1">
        <w:r w:rsidR="00A326E6" w:rsidRPr="00A326E6">
          <w:rPr>
            <w:rFonts w:cs="Arial"/>
          </w:rPr>
          <w:t>Christensen JH</w:t>
        </w:r>
      </w:hyperlink>
      <w:r w:rsidR="00A326E6" w:rsidRPr="00A326E6">
        <w:rPr>
          <w:rFonts w:cs="Arial"/>
        </w:rPr>
        <w:t xml:space="preserve">, </w:t>
      </w:r>
      <w:hyperlink r:id="rId29" w:history="1">
        <w:r w:rsidR="00A326E6" w:rsidRPr="00A326E6">
          <w:rPr>
            <w:rFonts w:cs="Arial"/>
          </w:rPr>
          <w:t>Clausen P</w:t>
        </w:r>
      </w:hyperlink>
      <w:r w:rsidR="00A326E6" w:rsidRPr="00A326E6">
        <w:rPr>
          <w:rFonts w:cs="Arial"/>
        </w:rPr>
        <w:t xml:space="preserve">, </w:t>
      </w:r>
      <w:hyperlink r:id="rId30" w:history="1">
        <w:r w:rsidR="00A326E6" w:rsidRPr="00A326E6">
          <w:rPr>
            <w:rFonts w:cs="Arial"/>
          </w:rPr>
          <w:t>Rasmussen BF</w:t>
        </w:r>
      </w:hyperlink>
      <w:r w:rsidR="00A326E6" w:rsidRPr="00A326E6">
        <w:rPr>
          <w:rFonts w:cs="Arial"/>
        </w:rPr>
        <w:t xml:space="preserve">, </w:t>
      </w:r>
      <w:hyperlink r:id="rId31" w:history="1">
        <w:r w:rsidR="00A326E6" w:rsidRPr="00A326E6">
          <w:rPr>
            <w:rFonts w:cs="Arial"/>
          </w:rPr>
          <w:t>Schmidt EB</w:t>
        </w:r>
      </w:hyperlink>
      <w:r w:rsidR="00A326E6" w:rsidRPr="00A326E6">
        <w:rPr>
          <w:rFonts w:cs="Arial"/>
        </w:rPr>
        <w:t xml:space="preserve">, </w:t>
      </w:r>
      <w:hyperlink r:id="rId32" w:history="1">
        <w:proofErr w:type="spellStart"/>
        <w:r w:rsidR="00A326E6" w:rsidRPr="00A326E6">
          <w:rPr>
            <w:rFonts w:cs="Arial"/>
          </w:rPr>
          <w:t>Tholstrup</w:t>
        </w:r>
        <w:proofErr w:type="spellEnd"/>
        <w:r w:rsidR="00A326E6" w:rsidRPr="00A326E6">
          <w:rPr>
            <w:rFonts w:cs="Arial"/>
          </w:rPr>
          <w:t xml:space="preserve"> T</w:t>
        </w:r>
      </w:hyperlink>
      <w:r w:rsidR="00A326E6" w:rsidRPr="00A326E6">
        <w:rPr>
          <w:rFonts w:cs="Arial"/>
        </w:rPr>
        <w:t xml:space="preserve">, </w:t>
      </w:r>
      <w:hyperlink r:id="rId33" w:history="1">
        <w:r w:rsidR="00A326E6" w:rsidRPr="00A326E6">
          <w:rPr>
            <w:rFonts w:cs="Arial"/>
          </w:rPr>
          <w:t>Toft E</w:t>
        </w:r>
      </w:hyperlink>
      <w:r w:rsidR="00A326E6" w:rsidRPr="00A326E6">
        <w:rPr>
          <w:rFonts w:cs="Arial"/>
        </w:rPr>
        <w:t xml:space="preserve">, </w:t>
      </w:r>
      <w:hyperlink r:id="rId34" w:history="1">
        <w:r w:rsidR="00A326E6" w:rsidRPr="00A326E6">
          <w:rPr>
            <w:rFonts w:cs="Arial"/>
          </w:rPr>
          <w:t>Toubro S</w:t>
        </w:r>
      </w:hyperlink>
      <w:r w:rsidR="00A326E6" w:rsidRPr="00A326E6">
        <w:rPr>
          <w:rFonts w:cs="Arial"/>
        </w:rPr>
        <w:t xml:space="preserve">, </w:t>
      </w:r>
      <w:hyperlink r:id="rId35" w:history="1">
        <w:proofErr w:type="spellStart"/>
        <w:r w:rsidR="00A326E6" w:rsidRPr="00A326E6">
          <w:rPr>
            <w:rFonts w:cs="Arial"/>
          </w:rPr>
          <w:t>Stender</w:t>
        </w:r>
        <w:proofErr w:type="spellEnd"/>
        <w:r w:rsidR="00A326E6" w:rsidRPr="00A326E6">
          <w:rPr>
            <w:rFonts w:cs="Arial"/>
          </w:rPr>
          <w:t xml:space="preserve"> S</w:t>
        </w:r>
      </w:hyperlink>
      <w:r w:rsidRPr="00A326E6">
        <w:rPr>
          <w:rFonts w:cs="Arial"/>
        </w:rPr>
        <w:t xml:space="preserve"> (2004) Effects of trans- and n-3 unsaturated fatty acids on cardiovascular risk markers in healthy males. </w:t>
      </w:r>
      <w:proofErr w:type="gramStart"/>
      <w:r w:rsidRPr="00A326E6">
        <w:rPr>
          <w:rFonts w:cs="Arial"/>
        </w:rPr>
        <w:t>An 8 weeks dietary intervention study</w:t>
      </w:r>
      <w:r w:rsidR="00D32DB4" w:rsidRPr="00A326E6">
        <w:rPr>
          <w:rFonts w:cs="Arial"/>
        </w:rPr>
        <w:t>.</w:t>
      </w:r>
      <w:proofErr w:type="gramEnd"/>
      <w:r w:rsidR="00D32DB4" w:rsidRPr="00A326E6">
        <w:rPr>
          <w:rFonts w:cs="Arial"/>
        </w:rPr>
        <w:t xml:space="preserve"> </w:t>
      </w:r>
      <w:proofErr w:type="spellStart"/>
      <w:r w:rsidR="00D32DB4" w:rsidRPr="00A326E6">
        <w:rPr>
          <w:rFonts w:cs="Arial"/>
        </w:rPr>
        <w:t>Eur</w:t>
      </w:r>
      <w:proofErr w:type="spellEnd"/>
      <w:r w:rsidR="00D32DB4" w:rsidRPr="00A326E6">
        <w:rPr>
          <w:rFonts w:cs="Arial"/>
        </w:rPr>
        <w:t xml:space="preserve"> J </w:t>
      </w:r>
      <w:proofErr w:type="spellStart"/>
      <w:r w:rsidR="00D32DB4" w:rsidRPr="00A326E6">
        <w:rPr>
          <w:rFonts w:cs="Arial"/>
        </w:rPr>
        <w:t>Clin</w:t>
      </w:r>
      <w:proofErr w:type="spellEnd"/>
      <w:r w:rsidR="00D32DB4" w:rsidRPr="00A326E6">
        <w:rPr>
          <w:rFonts w:cs="Arial"/>
        </w:rPr>
        <w:t xml:space="preserve"> </w:t>
      </w:r>
      <w:proofErr w:type="spellStart"/>
      <w:r w:rsidR="00D32DB4" w:rsidRPr="00A326E6">
        <w:rPr>
          <w:rFonts w:cs="Arial"/>
        </w:rPr>
        <w:t>Nutr</w:t>
      </w:r>
      <w:proofErr w:type="spellEnd"/>
      <w:r w:rsidR="00D32DB4" w:rsidRPr="00A326E6">
        <w:rPr>
          <w:rFonts w:cs="Arial"/>
        </w:rPr>
        <w:t xml:space="preserve"> 58:</w:t>
      </w:r>
      <w:r w:rsidR="000C0778" w:rsidRPr="00A326E6">
        <w:rPr>
          <w:rFonts w:cs="Arial"/>
        </w:rPr>
        <w:t>1062–1070</w:t>
      </w:r>
    </w:p>
    <w:p w14:paraId="504EF361" w14:textId="77777777" w:rsidR="00096660" w:rsidRPr="00791F68" w:rsidRDefault="00096660" w:rsidP="00952C55">
      <w:pPr>
        <w:autoSpaceDE w:val="0"/>
        <w:autoSpaceDN w:val="0"/>
        <w:adjustRightInd w:val="0"/>
        <w:rPr>
          <w:rFonts w:cs="Arial"/>
        </w:rPr>
      </w:pPr>
    </w:p>
    <w:p w14:paraId="521AE12E" w14:textId="2209B39C" w:rsidR="00096660" w:rsidRPr="00791F68" w:rsidRDefault="003F4881" w:rsidP="00952C55">
      <w:pPr>
        <w:autoSpaceDE w:val="0"/>
        <w:autoSpaceDN w:val="0"/>
        <w:adjustRightInd w:val="0"/>
        <w:rPr>
          <w:rFonts w:cs="Arial"/>
          <w:lang w:val="en"/>
        </w:rPr>
      </w:pPr>
      <w:bookmarkStart w:id="18" w:name="pone.0009434-French1"/>
      <w:bookmarkEnd w:id="18"/>
      <w:r w:rsidRPr="00791F68">
        <w:rPr>
          <w:rFonts w:cs="Arial"/>
          <w:lang w:val="en"/>
        </w:rPr>
        <w:t xml:space="preserve">French MA, </w:t>
      </w:r>
      <w:proofErr w:type="spellStart"/>
      <w:r w:rsidRPr="00791F68">
        <w:rPr>
          <w:rFonts w:cs="Arial"/>
          <w:lang w:val="en"/>
        </w:rPr>
        <w:t>Sundram</w:t>
      </w:r>
      <w:proofErr w:type="spellEnd"/>
      <w:r w:rsidRPr="00791F68">
        <w:rPr>
          <w:rFonts w:cs="Arial"/>
          <w:lang w:val="en"/>
        </w:rPr>
        <w:t xml:space="preserve"> K, </w:t>
      </w:r>
      <w:proofErr w:type="spellStart"/>
      <w:r w:rsidRPr="00791F68">
        <w:rPr>
          <w:rFonts w:cs="Arial"/>
          <w:lang w:val="en"/>
        </w:rPr>
        <w:t>Clandinin</w:t>
      </w:r>
      <w:proofErr w:type="spellEnd"/>
      <w:r w:rsidRPr="00791F68">
        <w:rPr>
          <w:rFonts w:cs="Arial"/>
          <w:lang w:val="en"/>
        </w:rPr>
        <w:t xml:space="preserve"> MT (2002) </w:t>
      </w:r>
      <w:proofErr w:type="spellStart"/>
      <w:r w:rsidRPr="00791F68">
        <w:rPr>
          <w:rFonts w:cs="Arial"/>
          <w:lang w:val="en"/>
        </w:rPr>
        <w:t>Cholesterolaemic</w:t>
      </w:r>
      <w:proofErr w:type="spellEnd"/>
      <w:r w:rsidRPr="00791F68">
        <w:rPr>
          <w:rFonts w:cs="Arial"/>
          <w:lang w:val="en"/>
        </w:rPr>
        <w:t xml:space="preserve"> effect of palmitic acid in relation to other dietary fatty acids. </w:t>
      </w:r>
      <w:r w:rsidRPr="00A326E6">
        <w:rPr>
          <w:rFonts w:cs="Arial"/>
          <w:lang w:val="en"/>
        </w:rPr>
        <w:t xml:space="preserve">Asia </w:t>
      </w:r>
      <w:r w:rsidR="00A326E6" w:rsidRPr="00A326E6">
        <w:rPr>
          <w:rFonts w:cs="Arial"/>
          <w:lang w:val="en"/>
        </w:rPr>
        <w:t xml:space="preserve">Pac J </w:t>
      </w:r>
      <w:proofErr w:type="spellStart"/>
      <w:r w:rsidR="00A326E6" w:rsidRPr="00A326E6">
        <w:rPr>
          <w:rFonts w:cs="Arial"/>
          <w:lang w:val="en"/>
        </w:rPr>
        <w:t>Clin</w:t>
      </w:r>
      <w:proofErr w:type="spellEnd"/>
      <w:r w:rsidR="00A326E6" w:rsidRPr="00A326E6">
        <w:rPr>
          <w:rFonts w:cs="Arial"/>
          <w:lang w:val="en"/>
        </w:rPr>
        <w:t xml:space="preserve"> </w:t>
      </w:r>
      <w:proofErr w:type="spellStart"/>
      <w:r w:rsidR="00A326E6" w:rsidRPr="00A326E6">
        <w:rPr>
          <w:rFonts w:cs="Arial"/>
          <w:lang w:val="en"/>
        </w:rPr>
        <w:t>Nutr</w:t>
      </w:r>
      <w:proofErr w:type="spellEnd"/>
      <w:r w:rsidRPr="00A326E6">
        <w:rPr>
          <w:rFonts w:cs="Arial"/>
          <w:lang w:val="en"/>
        </w:rPr>
        <w:t xml:space="preserve"> 11 </w:t>
      </w:r>
      <w:proofErr w:type="spellStart"/>
      <w:r w:rsidRPr="00A326E6">
        <w:rPr>
          <w:rFonts w:cs="Arial"/>
          <w:lang w:val="en"/>
        </w:rPr>
        <w:t>Suppl</w:t>
      </w:r>
      <w:proofErr w:type="spellEnd"/>
      <w:r w:rsidRPr="00A326E6">
        <w:rPr>
          <w:rFonts w:cs="Arial"/>
          <w:lang w:val="en"/>
        </w:rPr>
        <w:t xml:space="preserve"> 7</w:t>
      </w:r>
      <w:r w:rsidR="00A326E6" w:rsidRPr="00A326E6">
        <w:rPr>
          <w:rFonts w:cs="Arial"/>
          <w:lang w:val="en"/>
        </w:rPr>
        <w:t>:S401</w:t>
      </w:r>
      <w:r w:rsidR="00A326E6">
        <w:rPr>
          <w:rFonts w:cs="Arial"/>
          <w:lang w:val="en"/>
        </w:rPr>
        <w:t>-407</w:t>
      </w:r>
    </w:p>
    <w:p w14:paraId="12048908" w14:textId="77777777" w:rsidR="00AB6052" w:rsidRPr="00791F68" w:rsidRDefault="00AB6052" w:rsidP="00952C55">
      <w:pPr>
        <w:autoSpaceDE w:val="0"/>
        <w:autoSpaceDN w:val="0"/>
        <w:adjustRightInd w:val="0"/>
        <w:rPr>
          <w:rFonts w:cs="Arial"/>
          <w:lang w:val="en"/>
        </w:rPr>
      </w:pPr>
    </w:p>
    <w:p w14:paraId="352E9E35" w14:textId="07A1676F" w:rsidR="00AB6052" w:rsidRPr="00791F68" w:rsidRDefault="00AB6052" w:rsidP="00AB6052">
      <w:pPr>
        <w:autoSpaceDE w:val="0"/>
        <w:autoSpaceDN w:val="0"/>
        <w:adjustRightInd w:val="0"/>
        <w:rPr>
          <w:rFonts w:cs="Arial"/>
        </w:rPr>
      </w:pPr>
      <w:proofErr w:type="gramStart"/>
      <w:r w:rsidRPr="00791F68">
        <w:rPr>
          <w:rFonts w:cs="Arial"/>
          <w:lang w:val="en"/>
        </w:rPr>
        <w:t>FSAN</w:t>
      </w:r>
      <w:r w:rsidR="00D32DB4">
        <w:rPr>
          <w:rFonts w:cs="Arial"/>
          <w:lang w:val="en"/>
        </w:rPr>
        <w:t>Z (2005)</w:t>
      </w:r>
      <w:r w:rsidRPr="00791F68">
        <w:rPr>
          <w:rFonts w:cs="Arial"/>
          <w:lang w:val="en"/>
        </w:rPr>
        <w:t xml:space="preserve"> Proposal P293.</w:t>
      </w:r>
      <w:proofErr w:type="gramEnd"/>
      <w:r w:rsidRPr="00791F68">
        <w:rPr>
          <w:rFonts w:cs="Arial"/>
          <w:lang w:val="en"/>
        </w:rPr>
        <w:t xml:space="preserve">  Draft Assessment Report.  </w:t>
      </w:r>
      <w:proofErr w:type="gramStart"/>
      <w:r w:rsidRPr="00791F68">
        <w:rPr>
          <w:rFonts w:cs="Arial"/>
          <w:lang w:val="en"/>
        </w:rPr>
        <w:t>Nutrition, Health and Related Claims.</w:t>
      </w:r>
      <w:proofErr w:type="gramEnd"/>
      <w:r w:rsidRPr="00791F68">
        <w:rPr>
          <w:rFonts w:cs="Arial"/>
          <w:lang w:val="en"/>
        </w:rPr>
        <w:t xml:space="preserve">  Available at </w:t>
      </w:r>
      <w:hyperlink r:id="rId36" w:history="1">
        <w:r w:rsidRPr="00791F68">
          <w:rPr>
            <w:rStyle w:val="Hyperlink"/>
            <w:rFonts w:cs="Arial"/>
            <w:color w:val="auto"/>
            <w:lang w:val="en"/>
          </w:rPr>
          <w:t>http://www.foodstandards.gov.au/code/proposals/pages/proposalp293nutritionhealthandrelatedclaims/p293draftassessmentr3501.aspx</w:t>
        </w:r>
      </w:hyperlink>
      <w:r w:rsidRPr="00791F68">
        <w:rPr>
          <w:rFonts w:cs="Arial"/>
          <w:lang w:val="en"/>
        </w:rPr>
        <w:t xml:space="preserve"> (Accessed 30 March 2015</w:t>
      </w:r>
    </w:p>
    <w:p w14:paraId="1A6DF42F" w14:textId="77777777" w:rsidR="007D31D9" w:rsidRPr="00791F68" w:rsidRDefault="007D31D9" w:rsidP="007D31D9">
      <w:pPr>
        <w:autoSpaceDE w:val="0"/>
        <w:autoSpaceDN w:val="0"/>
        <w:adjustRightInd w:val="0"/>
        <w:ind w:left="360"/>
        <w:rPr>
          <w:rFonts w:cs="Arial"/>
        </w:rPr>
      </w:pPr>
    </w:p>
    <w:p w14:paraId="50D636C4" w14:textId="77777777" w:rsidR="00373855" w:rsidRDefault="00373855">
      <w:pPr>
        <w:rPr>
          <w:rFonts w:cs="Arial"/>
        </w:rPr>
      </w:pPr>
      <w:r>
        <w:rPr>
          <w:rFonts w:cs="Arial"/>
        </w:rPr>
        <w:br w:type="page"/>
      </w:r>
    </w:p>
    <w:p w14:paraId="7B315C7F" w14:textId="481B0D33" w:rsidR="004D6A02" w:rsidRPr="00791F68" w:rsidRDefault="00BB64C6" w:rsidP="004D6A02">
      <w:pPr>
        <w:autoSpaceDE w:val="0"/>
        <w:autoSpaceDN w:val="0"/>
        <w:adjustRightInd w:val="0"/>
        <w:rPr>
          <w:rFonts w:cs="Arial"/>
        </w:rPr>
      </w:pPr>
      <w:proofErr w:type="spellStart"/>
      <w:proofErr w:type="gramStart"/>
      <w:r w:rsidRPr="00791F68">
        <w:rPr>
          <w:rFonts w:cs="Arial"/>
        </w:rPr>
        <w:lastRenderedPageBreak/>
        <w:t>Gagliardi</w:t>
      </w:r>
      <w:proofErr w:type="spellEnd"/>
      <w:r w:rsidRPr="00791F68">
        <w:rPr>
          <w:rFonts w:cs="Arial"/>
        </w:rPr>
        <w:t xml:space="preserve"> AC, </w:t>
      </w:r>
      <w:proofErr w:type="spellStart"/>
      <w:r w:rsidRPr="00791F68">
        <w:rPr>
          <w:rFonts w:cs="Arial"/>
        </w:rPr>
        <w:t>Maranhao</w:t>
      </w:r>
      <w:proofErr w:type="spellEnd"/>
      <w:r w:rsidRPr="00791F68">
        <w:rPr>
          <w:rFonts w:cs="Arial"/>
        </w:rPr>
        <w:t xml:space="preserve"> RC, de Sousa HP, Schaefer EJ, Santos R</w:t>
      </w:r>
      <w:r w:rsidR="00D32DB4">
        <w:rPr>
          <w:rFonts w:cs="Arial"/>
        </w:rPr>
        <w:t>D (2010)</w:t>
      </w:r>
      <w:r w:rsidR="004D6A02" w:rsidRPr="00791F68">
        <w:rPr>
          <w:rFonts w:cs="Arial"/>
        </w:rPr>
        <w:t xml:space="preserve"> Effects of margarines and butter consumption on lipid profiles, inflammation markers and lipid transfer to HDL particles in free-living subjects with the metabolic syndrome.</w:t>
      </w:r>
      <w:proofErr w:type="gramEnd"/>
      <w:r w:rsidR="004D6A02" w:rsidRPr="00791F68">
        <w:rPr>
          <w:rFonts w:cs="Arial"/>
        </w:rPr>
        <w:t xml:space="preserve"> </w:t>
      </w:r>
      <w:proofErr w:type="spellStart"/>
      <w:r w:rsidR="007E2015">
        <w:rPr>
          <w:rFonts w:cs="Arial"/>
          <w:iCs/>
        </w:rPr>
        <w:t>Eur</w:t>
      </w:r>
      <w:proofErr w:type="spellEnd"/>
      <w:r w:rsidR="007E2015">
        <w:rPr>
          <w:rFonts w:cs="Arial"/>
          <w:iCs/>
        </w:rPr>
        <w:t xml:space="preserve"> J </w:t>
      </w:r>
      <w:proofErr w:type="spellStart"/>
      <w:r w:rsidR="007E2015">
        <w:rPr>
          <w:rFonts w:cs="Arial"/>
          <w:iCs/>
        </w:rPr>
        <w:t>Clin</w:t>
      </w:r>
      <w:proofErr w:type="spellEnd"/>
      <w:r w:rsidR="007E2015">
        <w:rPr>
          <w:rFonts w:cs="Arial"/>
          <w:iCs/>
        </w:rPr>
        <w:t xml:space="preserve"> </w:t>
      </w:r>
      <w:proofErr w:type="spellStart"/>
      <w:r w:rsidR="007E2015">
        <w:rPr>
          <w:rFonts w:cs="Arial"/>
          <w:iCs/>
        </w:rPr>
        <w:t>Nutr</w:t>
      </w:r>
      <w:proofErr w:type="spellEnd"/>
      <w:r w:rsidR="007E2015">
        <w:rPr>
          <w:rFonts w:cs="Arial"/>
          <w:iCs/>
        </w:rPr>
        <w:t xml:space="preserve"> </w:t>
      </w:r>
      <w:r w:rsidR="004D6A02" w:rsidRPr="00791F68">
        <w:rPr>
          <w:rFonts w:cs="Arial"/>
          <w:iCs/>
        </w:rPr>
        <w:t>64</w:t>
      </w:r>
      <w:r w:rsidR="004D6A02" w:rsidRPr="00791F68">
        <w:rPr>
          <w:rFonts w:cs="Arial"/>
        </w:rPr>
        <w:t>(10)</w:t>
      </w:r>
      <w:r w:rsidRPr="00791F68">
        <w:rPr>
          <w:rFonts w:cs="Arial"/>
        </w:rPr>
        <w:t>:</w:t>
      </w:r>
      <w:r w:rsidR="000C0778">
        <w:rPr>
          <w:rFonts w:cs="Arial"/>
        </w:rPr>
        <w:t>1141-1149</w:t>
      </w:r>
    </w:p>
    <w:p w14:paraId="5CA0C2DD" w14:textId="77777777" w:rsidR="007D31D9" w:rsidRPr="00791F68" w:rsidRDefault="007D31D9" w:rsidP="007D31D9">
      <w:pPr>
        <w:autoSpaceDE w:val="0"/>
        <w:autoSpaceDN w:val="0"/>
        <w:adjustRightInd w:val="0"/>
        <w:rPr>
          <w:rFonts w:cs="Arial"/>
        </w:rPr>
      </w:pPr>
    </w:p>
    <w:p w14:paraId="1E60750C" w14:textId="008045D5" w:rsidR="007D31D9" w:rsidRPr="00791F68" w:rsidRDefault="007D31D9" w:rsidP="007D31D9">
      <w:pPr>
        <w:pStyle w:val="Default"/>
        <w:rPr>
          <w:color w:val="auto"/>
          <w:sz w:val="22"/>
          <w:szCs w:val="22"/>
          <w:lang w:val="en"/>
        </w:rPr>
      </w:pPr>
      <w:proofErr w:type="spellStart"/>
      <w:r w:rsidRPr="00791F68">
        <w:rPr>
          <w:bCs/>
          <w:color w:val="auto"/>
          <w:sz w:val="22"/>
          <w:szCs w:val="22"/>
        </w:rPr>
        <w:t>Hafekost</w:t>
      </w:r>
      <w:proofErr w:type="spellEnd"/>
      <w:r w:rsidRPr="00791F68">
        <w:rPr>
          <w:bCs/>
          <w:color w:val="auto"/>
          <w:sz w:val="22"/>
          <w:szCs w:val="22"/>
        </w:rPr>
        <w:t xml:space="preserve"> K, O’Sul</w:t>
      </w:r>
      <w:r w:rsidR="00D32DB4">
        <w:rPr>
          <w:bCs/>
          <w:color w:val="auto"/>
          <w:sz w:val="22"/>
          <w:szCs w:val="22"/>
        </w:rPr>
        <w:t xml:space="preserve">livan TA, Lawrence D, </w:t>
      </w:r>
      <w:proofErr w:type="spellStart"/>
      <w:r w:rsidR="00D32DB4">
        <w:rPr>
          <w:bCs/>
          <w:color w:val="auto"/>
          <w:sz w:val="22"/>
          <w:szCs w:val="22"/>
        </w:rPr>
        <w:t>Mitrou</w:t>
      </w:r>
      <w:proofErr w:type="spellEnd"/>
      <w:r w:rsidR="00D32DB4">
        <w:rPr>
          <w:bCs/>
          <w:color w:val="auto"/>
          <w:sz w:val="22"/>
          <w:szCs w:val="22"/>
        </w:rPr>
        <w:t xml:space="preserve"> F(Edith Cowan University)</w:t>
      </w:r>
      <w:r w:rsidRPr="00791F68">
        <w:rPr>
          <w:bCs/>
          <w:color w:val="auto"/>
          <w:sz w:val="22"/>
          <w:szCs w:val="22"/>
        </w:rPr>
        <w:t xml:space="preserve"> </w:t>
      </w:r>
      <w:r w:rsidRPr="00791F68">
        <w:rPr>
          <w:color w:val="auto"/>
          <w:sz w:val="22"/>
          <w:szCs w:val="22"/>
        </w:rPr>
        <w:t xml:space="preserve"> </w:t>
      </w:r>
      <w:r w:rsidRPr="00791F68">
        <w:rPr>
          <w:bCs/>
          <w:color w:val="auto"/>
          <w:sz w:val="22"/>
          <w:szCs w:val="22"/>
        </w:rPr>
        <w:t xml:space="preserve">Systematic Review of the evidence for a relationship between trans-fatty acids and blood cholesterol.  </w:t>
      </w:r>
      <w:proofErr w:type="gramStart"/>
      <w:r w:rsidRPr="00791F68">
        <w:rPr>
          <w:bCs/>
          <w:color w:val="auto"/>
          <w:sz w:val="22"/>
          <w:szCs w:val="22"/>
        </w:rPr>
        <w:t>Report to Food Standards Australia New Zealand, July 2014.</w:t>
      </w:r>
      <w:proofErr w:type="gramEnd"/>
      <w:r w:rsidRPr="00791F68">
        <w:rPr>
          <w:bCs/>
          <w:color w:val="auto"/>
          <w:sz w:val="22"/>
          <w:szCs w:val="22"/>
        </w:rPr>
        <w:t xml:space="preserve">  Available at</w:t>
      </w:r>
      <w:r w:rsidR="00402E83" w:rsidRPr="00791F68">
        <w:rPr>
          <w:bCs/>
          <w:color w:val="auto"/>
          <w:sz w:val="22"/>
          <w:szCs w:val="22"/>
        </w:rPr>
        <w:t xml:space="preserve"> </w:t>
      </w:r>
      <w:hyperlink r:id="rId37" w:history="1">
        <w:r w:rsidR="00402E83" w:rsidRPr="00791F68">
          <w:rPr>
            <w:rStyle w:val="Hyperlink"/>
            <w:color w:val="auto"/>
            <w:sz w:val="22"/>
            <w:szCs w:val="22"/>
          </w:rPr>
          <w:t>http://www.foodstandards.gov.au/science/monitoringnutrients/Pages/Monitoring-of-trans-fatty-acids.aspx</w:t>
        </w:r>
      </w:hyperlink>
      <w:r w:rsidR="00874C0E">
        <w:rPr>
          <w:rStyle w:val="Hyperlink"/>
          <w:color w:val="auto"/>
          <w:sz w:val="22"/>
          <w:szCs w:val="22"/>
        </w:rPr>
        <w:t xml:space="preserve"> (</w:t>
      </w:r>
      <w:r w:rsidR="00874C0E">
        <w:rPr>
          <w:sz w:val="22"/>
          <w:szCs w:val="22"/>
        </w:rPr>
        <w:t>Accessed 25 February</w:t>
      </w:r>
      <w:r w:rsidR="00874C0E" w:rsidRPr="00874C0E">
        <w:rPr>
          <w:sz w:val="22"/>
          <w:szCs w:val="22"/>
        </w:rPr>
        <w:t xml:space="preserve"> 2015</w:t>
      </w:r>
      <w:r w:rsidR="00874C0E">
        <w:rPr>
          <w:sz w:val="22"/>
          <w:szCs w:val="22"/>
        </w:rPr>
        <w:t>)</w:t>
      </w:r>
    </w:p>
    <w:p w14:paraId="75772240" w14:textId="77777777" w:rsidR="007D31D9" w:rsidRPr="00791F68" w:rsidRDefault="007D31D9" w:rsidP="00952C55">
      <w:pPr>
        <w:autoSpaceDE w:val="0"/>
        <w:autoSpaceDN w:val="0"/>
        <w:adjustRightInd w:val="0"/>
        <w:rPr>
          <w:rFonts w:cs="Arial"/>
        </w:rPr>
      </w:pPr>
    </w:p>
    <w:p w14:paraId="5838AE22" w14:textId="3F4A9EF4" w:rsidR="007D31D9" w:rsidRPr="00791F68" w:rsidRDefault="007D31D9" w:rsidP="00952C55">
      <w:pPr>
        <w:autoSpaceDE w:val="0"/>
        <w:autoSpaceDN w:val="0"/>
        <w:adjustRightInd w:val="0"/>
        <w:rPr>
          <w:rFonts w:cs="Arial"/>
        </w:rPr>
      </w:pPr>
      <w:r w:rsidRPr="00791F68">
        <w:rPr>
          <w:rFonts w:cs="Arial"/>
        </w:rPr>
        <w:t xml:space="preserve">Han SN, </w:t>
      </w:r>
      <w:proofErr w:type="spellStart"/>
      <w:r w:rsidRPr="00791F68">
        <w:rPr>
          <w:rFonts w:cs="Arial"/>
        </w:rPr>
        <w:t>Leka</w:t>
      </w:r>
      <w:proofErr w:type="spellEnd"/>
      <w:r w:rsidRPr="00791F68">
        <w:rPr>
          <w:rFonts w:cs="Arial"/>
        </w:rPr>
        <w:t xml:space="preserve"> LS, Lichtenstein AH, </w:t>
      </w:r>
      <w:proofErr w:type="spellStart"/>
      <w:r w:rsidRPr="00791F68">
        <w:rPr>
          <w:rFonts w:cs="Arial"/>
        </w:rPr>
        <w:t>Ausman</w:t>
      </w:r>
      <w:proofErr w:type="spellEnd"/>
      <w:r w:rsidRPr="00791F68">
        <w:rPr>
          <w:rFonts w:cs="Arial"/>
        </w:rPr>
        <w:t xml:space="preserve"> LM, Schaefer EJ, </w:t>
      </w:r>
      <w:proofErr w:type="spellStart"/>
      <w:r w:rsidR="008945AE">
        <w:rPr>
          <w:rFonts w:cs="Arial"/>
        </w:rPr>
        <w:t>Meydani</w:t>
      </w:r>
      <w:proofErr w:type="spellEnd"/>
      <w:r w:rsidR="008945AE">
        <w:rPr>
          <w:rFonts w:cs="Arial"/>
        </w:rPr>
        <w:t xml:space="preserve"> SN</w:t>
      </w:r>
      <w:r w:rsidRPr="00791F68">
        <w:rPr>
          <w:rFonts w:cs="Arial"/>
        </w:rPr>
        <w:t xml:space="preserve"> (2002) Effect of hydrogenated and saturated, relative to polyunsaturated, fat on</w:t>
      </w:r>
      <w:r w:rsidR="00DB6F85" w:rsidRPr="00791F68">
        <w:rPr>
          <w:rFonts w:cs="Arial"/>
        </w:rPr>
        <w:t xml:space="preserve"> </w:t>
      </w:r>
      <w:r w:rsidRPr="00791F68">
        <w:rPr>
          <w:rFonts w:cs="Arial"/>
        </w:rPr>
        <w:t>immune and inflammatory responses of adults with moderate hypercholester</w:t>
      </w:r>
      <w:r w:rsidR="007E2015">
        <w:rPr>
          <w:rFonts w:cs="Arial"/>
        </w:rPr>
        <w:t>olemia. J Lipid Res 43:</w:t>
      </w:r>
      <w:r w:rsidR="000C0778">
        <w:rPr>
          <w:rFonts w:cs="Arial"/>
        </w:rPr>
        <w:t>445–452</w:t>
      </w:r>
    </w:p>
    <w:p w14:paraId="5DDADA12" w14:textId="77777777" w:rsidR="00486522" w:rsidRPr="00791F68" w:rsidRDefault="00486522" w:rsidP="00952C55">
      <w:pPr>
        <w:autoSpaceDE w:val="0"/>
        <w:autoSpaceDN w:val="0"/>
        <w:adjustRightInd w:val="0"/>
        <w:rPr>
          <w:rFonts w:cs="Arial"/>
        </w:rPr>
      </w:pPr>
    </w:p>
    <w:p w14:paraId="56F52C93" w14:textId="2641923E" w:rsidR="00486522" w:rsidRPr="00791F68" w:rsidRDefault="00F7114A" w:rsidP="00952C55">
      <w:pPr>
        <w:autoSpaceDE w:val="0"/>
        <w:autoSpaceDN w:val="0"/>
        <w:adjustRightInd w:val="0"/>
        <w:rPr>
          <w:rFonts w:cs="Arial"/>
        </w:rPr>
      </w:pPr>
      <w:r w:rsidRPr="00791F68">
        <w:rPr>
          <w:rFonts w:cs="Arial"/>
        </w:rPr>
        <w:t xml:space="preserve">Joseph SV, Jacques H, </w:t>
      </w:r>
      <w:proofErr w:type="spellStart"/>
      <w:r w:rsidRPr="00791F68">
        <w:rPr>
          <w:rFonts w:cs="Arial"/>
        </w:rPr>
        <w:t>Plourde</w:t>
      </w:r>
      <w:proofErr w:type="spellEnd"/>
      <w:r w:rsidRPr="00791F68">
        <w:rPr>
          <w:rFonts w:cs="Arial"/>
        </w:rPr>
        <w:t xml:space="preserve"> M, Mitchell PL, McLeod RS, Jones P</w:t>
      </w:r>
      <w:r w:rsidR="00D32DB4">
        <w:rPr>
          <w:rFonts w:cs="Arial"/>
        </w:rPr>
        <w:t>J (2011)</w:t>
      </w:r>
      <w:r w:rsidR="0054294B" w:rsidRPr="00791F68">
        <w:rPr>
          <w:rFonts w:cs="Arial"/>
        </w:rPr>
        <w:t xml:space="preserve"> Conjugated linoleic acid supplementation for 8 weeks does not affect body composition, lipid profile, or safety biomarkers in overweight, </w:t>
      </w:r>
      <w:proofErr w:type="spellStart"/>
      <w:r w:rsidR="0054294B" w:rsidRPr="00791F68">
        <w:rPr>
          <w:rFonts w:cs="Arial"/>
        </w:rPr>
        <w:t>hyperlipidemic</w:t>
      </w:r>
      <w:proofErr w:type="spellEnd"/>
      <w:r w:rsidR="0054294B" w:rsidRPr="00791F68">
        <w:rPr>
          <w:rFonts w:cs="Arial"/>
        </w:rPr>
        <w:t xml:space="preserve"> men. </w:t>
      </w:r>
      <w:r w:rsidR="007E2015">
        <w:rPr>
          <w:rFonts w:cs="Arial"/>
          <w:iCs/>
        </w:rPr>
        <w:t xml:space="preserve">J </w:t>
      </w:r>
      <w:proofErr w:type="spellStart"/>
      <w:r w:rsidR="007E2015">
        <w:rPr>
          <w:rFonts w:cs="Arial"/>
          <w:iCs/>
        </w:rPr>
        <w:t>Nutr</w:t>
      </w:r>
      <w:proofErr w:type="spellEnd"/>
      <w:r w:rsidR="0054294B" w:rsidRPr="00791F68">
        <w:rPr>
          <w:rFonts w:cs="Arial"/>
          <w:iCs/>
        </w:rPr>
        <w:t xml:space="preserve"> 141</w:t>
      </w:r>
      <w:r w:rsidR="007E2015">
        <w:rPr>
          <w:rFonts w:cs="Arial"/>
        </w:rPr>
        <w:t>(7):</w:t>
      </w:r>
      <w:r w:rsidR="001C72E4">
        <w:rPr>
          <w:rFonts w:cs="Arial"/>
        </w:rPr>
        <w:t>1286-</w:t>
      </w:r>
      <w:proofErr w:type="gramStart"/>
      <w:r w:rsidR="001C72E4">
        <w:rPr>
          <w:rFonts w:cs="Arial"/>
        </w:rPr>
        <w:t xml:space="preserve">1291 </w:t>
      </w:r>
      <w:r w:rsidR="0054294B" w:rsidRPr="00791F68">
        <w:rPr>
          <w:rFonts w:cs="Arial"/>
        </w:rPr>
        <w:t xml:space="preserve"> </w:t>
      </w:r>
      <w:proofErr w:type="spellStart"/>
      <w:r w:rsidR="0054294B" w:rsidRPr="00791F68">
        <w:rPr>
          <w:rFonts w:cs="Arial"/>
        </w:rPr>
        <w:t>doi</w:t>
      </w:r>
      <w:proofErr w:type="spellEnd"/>
      <w:proofErr w:type="gramEnd"/>
      <w:r w:rsidR="0054294B" w:rsidRPr="00791F68">
        <w:rPr>
          <w:rFonts w:cs="Arial"/>
        </w:rPr>
        <w:t>: 10.3945/jn.110.135087</w:t>
      </w:r>
    </w:p>
    <w:p w14:paraId="117D2A4B" w14:textId="77777777" w:rsidR="007D31D9" w:rsidRPr="00791F68" w:rsidRDefault="007D31D9" w:rsidP="00952C55">
      <w:pPr>
        <w:autoSpaceDE w:val="0"/>
        <w:autoSpaceDN w:val="0"/>
        <w:adjustRightInd w:val="0"/>
        <w:rPr>
          <w:rFonts w:cs="Arial"/>
        </w:rPr>
      </w:pPr>
    </w:p>
    <w:p w14:paraId="09CC2DDB" w14:textId="7D65CFAA" w:rsidR="007D31D9" w:rsidRPr="00791F68" w:rsidRDefault="007D31D9" w:rsidP="00952C55">
      <w:pPr>
        <w:autoSpaceDE w:val="0"/>
        <w:autoSpaceDN w:val="0"/>
        <w:adjustRightInd w:val="0"/>
        <w:rPr>
          <w:rFonts w:cs="Arial"/>
        </w:rPr>
      </w:pPr>
      <w:r w:rsidRPr="00791F68">
        <w:rPr>
          <w:rFonts w:cs="Arial"/>
        </w:rPr>
        <w:t xml:space="preserve">Judd JT, Baer DJ, </w:t>
      </w:r>
      <w:proofErr w:type="spellStart"/>
      <w:r w:rsidRPr="00791F68">
        <w:rPr>
          <w:rFonts w:cs="Arial"/>
        </w:rPr>
        <w:t>Clevidence</w:t>
      </w:r>
      <w:proofErr w:type="spellEnd"/>
      <w:r w:rsidRPr="00791F68">
        <w:rPr>
          <w:rFonts w:cs="Arial"/>
        </w:rPr>
        <w:t xml:space="preserve"> BA, Kris-</w:t>
      </w:r>
      <w:proofErr w:type="spellStart"/>
      <w:r w:rsidRPr="00791F68">
        <w:rPr>
          <w:rFonts w:cs="Arial"/>
        </w:rPr>
        <w:t>Etherton</w:t>
      </w:r>
      <w:proofErr w:type="spellEnd"/>
      <w:r w:rsidRPr="00791F68">
        <w:rPr>
          <w:rFonts w:cs="Arial"/>
        </w:rPr>
        <w:t xml:space="preserve"> P, </w:t>
      </w:r>
      <w:proofErr w:type="spellStart"/>
      <w:r w:rsidRPr="00791F68">
        <w:rPr>
          <w:rFonts w:cs="Arial"/>
        </w:rPr>
        <w:t>Muesing</w:t>
      </w:r>
      <w:proofErr w:type="spellEnd"/>
      <w:r w:rsidRPr="00791F68">
        <w:rPr>
          <w:rFonts w:cs="Arial"/>
        </w:rPr>
        <w:t xml:space="preserve"> RA, </w:t>
      </w:r>
      <w:proofErr w:type="spellStart"/>
      <w:r w:rsidR="008945AE">
        <w:rPr>
          <w:rFonts w:cs="Arial"/>
        </w:rPr>
        <w:t>Iwane</w:t>
      </w:r>
      <w:proofErr w:type="spellEnd"/>
      <w:r w:rsidR="008945AE">
        <w:rPr>
          <w:rFonts w:cs="Arial"/>
        </w:rPr>
        <w:t xml:space="preserve"> M</w:t>
      </w:r>
      <w:r w:rsidRPr="00791F68">
        <w:rPr>
          <w:rFonts w:cs="Arial"/>
        </w:rPr>
        <w:t xml:space="preserve"> (2002) Dietary cis and trans monounsaturated and saturated FA and plasma lipids and lipoprot</w:t>
      </w:r>
      <w:r w:rsidR="007E2015">
        <w:rPr>
          <w:rFonts w:cs="Arial"/>
        </w:rPr>
        <w:t>eins in men. Lipids 37:</w:t>
      </w:r>
      <w:r w:rsidR="000C0778">
        <w:rPr>
          <w:rFonts w:cs="Arial"/>
        </w:rPr>
        <w:t>123–131</w:t>
      </w:r>
    </w:p>
    <w:p w14:paraId="7907DD48" w14:textId="77777777" w:rsidR="007D31D9" w:rsidRPr="00791F68" w:rsidRDefault="007D31D9" w:rsidP="00952C55">
      <w:pPr>
        <w:autoSpaceDE w:val="0"/>
        <w:autoSpaceDN w:val="0"/>
        <w:adjustRightInd w:val="0"/>
        <w:rPr>
          <w:rFonts w:cs="Arial"/>
        </w:rPr>
      </w:pPr>
    </w:p>
    <w:p w14:paraId="3DC1123C" w14:textId="1DEF10CD" w:rsidR="007D31D9" w:rsidRPr="00791F68" w:rsidRDefault="007D31D9" w:rsidP="00952C55">
      <w:pPr>
        <w:autoSpaceDE w:val="0"/>
        <w:autoSpaceDN w:val="0"/>
        <w:adjustRightInd w:val="0"/>
        <w:rPr>
          <w:rFonts w:cs="Arial"/>
        </w:rPr>
      </w:pPr>
      <w:r w:rsidRPr="00791F68">
        <w:rPr>
          <w:rFonts w:cs="Arial"/>
        </w:rPr>
        <w:t xml:space="preserve">Judd JT, </w:t>
      </w:r>
      <w:proofErr w:type="spellStart"/>
      <w:r w:rsidRPr="00791F68">
        <w:rPr>
          <w:rFonts w:cs="Arial"/>
        </w:rPr>
        <w:t>Clevidence</w:t>
      </w:r>
      <w:proofErr w:type="spellEnd"/>
      <w:r w:rsidRPr="00791F68">
        <w:rPr>
          <w:rFonts w:cs="Arial"/>
        </w:rPr>
        <w:t xml:space="preserve"> BA, </w:t>
      </w:r>
      <w:proofErr w:type="spellStart"/>
      <w:r w:rsidRPr="00791F68">
        <w:rPr>
          <w:rFonts w:cs="Arial"/>
        </w:rPr>
        <w:t>Mues</w:t>
      </w:r>
      <w:r w:rsidR="008945AE">
        <w:rPr>
          <w:rFonts w:cs="Arial"/>
        </w:rPr>
        <w:t>ing</w:t>
      </w:r>
      <w:proofErr w:type="spellEnd"/>
      <w:r w:rsidR="008945AE">
        <w:rPr>
          <w:rFonts w:cs="Arial"/>
        </w:rPr>
        <w:t xml:space="preserve"> RA, </w:t>
      </w:r>
      <w:proofErr w:type="spellStart"/>
      <w:r w:rsidR="008945AE">
        <w:rPr>
          <w:rFonts w:cs="Arial"/>
        </w:rPr>
        <w:t>Wittes</w:t>
      </w:r>
      <w:proofErr w:type="spellEnd"/>
      <w:r w:rsidR="008945AE">
        <w:rPr>
          <w:rFonts w:cs="Arial"/>
        </w:rPr>
        <w:t xml:space="preserve"> J, </w:t>
      </w:r>
      <w:proofErr w:type="spellStart"/>
      <w:r w:rsidR="008945AE">
        <w:rPr>
          <w:rFonts w:cs="Arial"/>
        </w:rPr>
        <w:t>Sunkin</w:t>
      </w:r>
      <w:proofErr w:type="spellEnd"/>
      <w:r w:rsidR="008945AE">
        <w:rPr>
          <w:rFonts w:cs="Arial"/>
        </w:rPr>
        <w:t xml:space="preserve"> ME, </w:t>
      </w:r>
      <w:proofErr w:type="spellStart"/>
      <w:r w:rsidR="008945AE">
        <w:rPr>
          <w:rFonts w:cs="Arial"/>
        </w:rPr>
        <w:t>Podczasy</w:t>
      </w:r>
      <w:proofErr w:type="spellEnd"/>
      <w:r w:rsidR="008945AE">
        <w:rPr>
          <w:rFonts w:cs="Arial"/>
        </w:rPr>
        <w:t xml:space="preserve"> JJ</w:t>
      </w:r>
      <w:r w:rsidRPr="00791F68">
        <w:rPr>
          <w:rFonts w:cs="Arial"/>
        </w:rPr>
        <w:t xml:space="preserve"> (1994) Dietary </w:t>
      </w:r>
      <w:proofErr w:type="gramStart"/>
      <w:r w:rsidRPr="00791F68">
        <w:rPr>
          <w:rFonts w:cs="Arial"/>
        </w:rPr>
        <w:t>trans</w:t>
      </w:r>
      <w:proofErr w:type="gramEnd"/>
      <w:r w:rsidRPr="00791F68">
        <w:rPr>
          <w:rFonts w:cs="Arial"/>
        </w:rPr>
        <w:t xml:space="preserve"> fatty acids: Effects on plasma lipids and lipoproteins of healthy men and wo</w:t>
      </w:r>
      <w:r w:rsidR="007E2015">
        <w:rPr>
          <w:rFonts w:cs="Arial"/>
        </w:rPr>
        <w:t xml:space="preserve">men. </w:t>
      </w:r>
      <w:proofErr w:type="gramStart"/>
      <w:r w:rsidR="007E2015">
        <w:rPr>
          <w:rFonts w:cs="Arial"/>
        </w:rPr>
        <w:t>Am</w:t>
      </w:r>
      <w:proofErr w:type="gramEnd"/>
      <w:r w:rsidR="007E2015">
        <w:rPr>
          <w:rFonts w:cs="Arial"/>
        </w:rPr>
        <w:t xml:space="preserve"> J </w:t>
      </w:r>
      <w:proofErr w:type="spellStart"/>
      <w:r w:rsidR="007E2015">
        <w:rPr>
          <w:rFonts w:cs="Arial"/>
        </w:rPr>
        <w:t>Clin</w:t>
      </w:r>
      <w:proofErr w:type="spellEnd"/>
      <w:r w:rsidR="007E2015">
        <w:rPr>
          <w:rFonts w:cs="Arial"/>
        </w:rPr>
        <w:t xml:space="preserve"> </w:t>
      </w:r>
      <w:proofErr w:type="spellStart"/>
      <w:r w:rsidR="007E2015">
        <w:rPr>
          <w:rFonts w:cs="Arial"/>
        </w:rPr>
        <w:t>Nutr</w:t>
      </w:r>
      <w:proofErr w:type="spellEnd"/>
      <w:r w:rsidR="007E2015">
        <w:rPr>
          <w:rFonts w:cs="Arial"/>
        </w:rPr>
        <w:t xml:space="preserve"> 59:</w:t>
      </w:r>
      <w:r w:rsidR="000C0778">
        <w:rPr>
          <w:rFonts w:cs="Arial"/>
        </w:rPr>
        <w:t>861–868</w:t>
      </w:r>
    </w:p>
    <w:p w14:paraId="08925C11" w14:textId="77777777" w:rsidR="00F61EF7" w:rsidRPr="00791F68" w:rsidRDefault="00F61EF7" w:rsidP="00952C55">
      <w:pPr>
        <w:autoSpaceDE w:val="0"/>
        <w:autoSpaceDN w:val="0"/>
        <w:adjustRightInd w:val="0"/>
        <w:rPr>
          <w:rFonts w:cs="Arial"/>
        </w:rPr>
      </w:pPr>
    </w:p>
    <w:p w14:paraId="0C04C957" w14:textId="4FD8E0EE" w:rsidR="00096660" w:rsidRPr="00791F68" w:rsidRDefault="003F4881" w:rsidP="003F4881">
      <w:pPr>
        <w:autoSpaceDE w:val="0"/>
        <w:autoSpaceDN w:val="0"/>
        <w:adjustRightInd w:val="0"/>
        <w:rPr>
          <w:rFonts w:cs="Arial"/>
        </w:rPr>
      </w:pPr>
      <w:r w:rsidRPr="00791F68">
        <w:rPr>
          <w:rFonts w:cs="Arial"/>
        </w:rPr>
        <w:t xml:space="preserve">Judd JT, Baer DJ, </w:t>
      </w:r>
      <w:proofErr w:type="spellStart"/>
      <w:r w:rsidRPr="008945AE">
        <w:rPr>
          <w:rFonts w:cs="Arial"/>
        </w:rPr>
        <w:t>Clevidence</w:t>
      </w:r>
      <w:proofErr w:type="spellEnd"/>
      <w:r w:rsidRPr="008945AE">
        <w:rPr>
          <w:rFonts w:cs="Arial"/>
        </w:rPr>
        <w:t xml:space="preserve"> BA,</w:t>
      </w:r>
      <w:r w:rsidR="008945AE" w:rsidRPr="008945AE">
        <w:rPr>
          <w:rFonts w:cs="Arial"/>
        </w:rPr>
        <w:t xml:space="preserve"> </w:t>
      </w:r>
      <w:hyperlink r:id="rId38" w:history="1">
        <w:proofErr w:type="spellStart"/>
        <w:r w:rsidR="008945AE" w:rsidRPr="008945AE">
          <w:rPr>
            <w:rFonts w:cs="Arial"/>
          </w:rPr>
          <w:t>Muesing</w:t>
        </w:r>
        <w:proofErr w:type="spellEnd"/>
        <w:r w:rsidR="008945AE" w:rsidRPr="008945AE">
          <w:rPr>
            <w:rFonts w:cs="Arial"/>
          </w:rPr>
          <w:t xml:space="preserve"> RA</w:t>
        </w:r>
      </w:hyperlink>
      <w:r w:rsidR="008945AE" w:rsidRPr="008945AE">
        <w:rPr>
          <w:rFonts w:cs="Arial"/>
        </w:rPr>
        <w:t xml:space="preserve">, </w:t>
      </w:r>
      <w:hyperlink r:id="rId39" w:history="1">
        <w:r w:rsidR="008945AE" w:rsidRPr="008945AE">
          <w:rPr>
            <w:rFonts w:cs="Arial"/>
          </w:rPr>
          <w:t>Chen SC</w:t>
        </w:r>
      </w:hyperlink>
      <w:r w:rsidR="008945AE" w:rsidRPr="008945AE">
        <w:rPr>
          <w:rFonts w:cs="Arial"/>
        </w:rPr>
        <w:t xml:space="preserve">, </w:t>
      </w:r>
      <w:hyperlink r:id="rId40" w:history="1">
        <w:proofErr w:type="spellStart"/>
        <w:r w:rsidR="008945AE" w:rsidRPr="008945AE">
          <w:rPr>
            <w:rFonts w:cs="Arial"/>
          </w:rPr>
          <w:t>Weststrate</w:t>
        </w:r>
        <w:proofErr w:type="spellEnd"/>
        <w:r w:rsidR="008945AE" w:rsidRPr="008945AE">
          <w:rPr>
            <w:rFonts w:cs="Arial"/>
          </w:rPr>
          <w:t xml:space="preserve"> JA</w:t>
        </w:r>
      </w:hyperlink>
      <w:r w:rsidR="008945AE" w:rsidRPr="008945AE">
        <w:rPr>
          <w:rFonts w:cs="Arial"/>
        </w:rPr>
        <w:t xml:space="preserve">, </w:t>
      </w:r>
      <w:hyperlink r:id="rId41" w:history="1">
        <w:r w:rsidR="008945AE" w:rsidRPr="008945AE">
          <w:rPr>
            <w:rFonts w:cs="Arial"/>
          </w:rPr>
          <w:t>Meijer GW</w:t>
        </w:r>
      </w:hyperlink>
      <w:r w:rsidR="008945AE" w:rsidRPr="008945AE">
        <w:rPr>
          <w:rFonts w:cs="Arial"/>
        </w:rPr>
        <w:t xml:space="preserve">, </w:t>
      </w:r>
      <w:hyperlink r:id="rId42" w:history="1">
        <w:proofErr w:type="spellStart"/>
        <w:r w:rsidR="008945AE" w:rsidRPr="008945AE">
          <w:rPr>
            <w:rFonts w:cs="Arial"/>
          </w:rPr>
          <w:t>Wittes</w:t>
        </w:r>
        <w:proofErr w:type="spellEnd"/>
        <w:r w:rsidR="008945AE" w:rsidRPr="008945AE">
          <w:rPr>
            <w:rFonts w:cs="Arial"/>
          </w:rPr>
          <w:t xml:space="preserve"> J</w:t>
        </w:r>
      </w:hyperlink>
      <w:r w:rsidR="008945AE" w:rsidRPr="008945AE">
        <w:rPr>
          <w:rFonts w:cs="Arial"/>
        </w:rPr>
        <w:t xml:space="preserve">, </w:t>
      </w:r>
      <w:hyperlink r:id="rId43" w:history="1">
        <w:r w:rsidR="008945AE" w:rsidRPr="008945AE">
          <w:rPr>
            <w:rFonts w:cs="Arial"/>
          </w:rPr>
          <w:t>Lichtenstein AH</w:t>
        </w:r>
      </w:hyperlink>
      <w:r w:rsidR="008945AE" w:rsidRPr="008945AE">
        <w:rPr>
          <w:rFonts w:cs="Arial"/>
        </w:rPr>
        <w:t xml:space="preserve">, </w:t>
      </w:r>
      <w:hyperlink r:id="rId44" w:history="1">
        <w:proofErr w:type="spellStart"/>
        <w:r w:rsidR="008945AE" w:rsidRPr="008945AE">
          <w:rPr>
            <w:rFonts w:cs="Arial"/>
          </w:rPr>
          <w:t>Vilella</w:t>
        </w:r>
        <w:proofErr w:type="spellEnd"/>
        <w:r w:rsidR="008945AE" w:rsidRPr="008945AE">
          <w:rPr>
            <w:rFonts w:cs="Arial"/>
          </w:rPr>
          <w:t>-Bach M</w:t>
        </w:r>
      </w:hyperlink>
      <w:r w:rsidR="008945AE" w:rsidRPr="008945AE">
        <w:rPr>
          <w:rFonts w:cs="Arial"/>
        </w:rPr>
        <w:t xml:space="preserve">, </w:t>
      </w:r>
      <w:hyperlink r:id="rId45" w:history="1">
        <w:r w:rsidR="008945AE" w:rsidRPr="008945AE">
          <w:rPr>
            <w:rFonts w:cs="Arial"/>
          </w:rPr>
          <w:t>Schaefer EJ</w:t>
        </w:r>
      </w:hyperlink>
      <w:r w:rsidR="00F94E52" w:rsidRPr="008945AE">
        <w:rPr>
          <w:rFonts w:cs="Arial"/>
        </w:rPr>
        <w:t xml:space="preserve"> (1998</w:t>
      </w:r>
      <w:r w:rsidR="00F94E52">
        <w:rPr>
          <w:rFonts w:cs="Arial"/>
        </w:rPr>
        <w:t>)</w:t>
      </w:r>
      <w:r w:rsidRPr="00791F68">
        <w:rPr>
          <w:rFonts w:cs="Arial"/>
        </w:rPr>
        <w:t xml:space="preserve"> Effects of margarine compared with those of butter on blood lipid profiles related to cardiovascular</w:t>
      </w:r>
      <w:r w:rsidR="00757881" w:rsidRPr="00791F68">
        <w:rPr>
          <w:rFonts w:cs="Arial"/>
        </w:rPr>
        <w:t xml:space="preserve"> </w:t>
      </w:r>
      <w:r w:rsidRPr="00791F68">
        <w:rPr>
          <w:rFonts w:cs="Arial"/>
        </w:rPr>
        <w:t xml:space="preserve">disease risk factors in </w:t>
      </w:r>
      <w:proofErr w:type="spellStart"/>
      <w:r w:rsidRPr="00791F68">
        <w:rPr>
          <w:rFonts w:cs="Arial"/>
        </w:rPr>
        <w:t>normolipidemic</w:t>
      </w:r>
      <w:proofErr w:type="spellEnd"/>
      <w:r w:rsidRPr="00791F68">
        <w:rPr>
          <w:rFonts w:cs="Arial"/>
        </w:rPr>
        <w:t xml:space="preserve"> adults fed controlled diets. </w:t>
      </w:r>
      <w:proofErr w:type="gramStart"/>
      <w:r w:rsidRPr="00791F68">
        <w:rPr>
          <w:rFonts w:cs="Arial"/>
        </w:rPr>
        <w:t>Am</w:t>
      </w:r>
      <w:proofErr w:type="gramEnd"/>
      <w:r w:rsidRPr="00791F68">
        <w:rPr>
          <w:rFonts w:cs="Arial"/>
        </w:rPr>
        <w:t xml:space="preserve"> J </w:t>
      </w:r>
      <w:proofErr w:type="spellStart"/>
      <w:r w:rsidRPr="00791F68">
        <w:rPr>
          <w:rFonts w:cs="Arial"/>
        </w:rPr>
        <w:t>Clin</w:t>
      </w:r>
      <w:proofErr w:type="spellEnd"/>
      <w:r w:rsidRPr="00791F68">
        <w:rPr>
          <w:rFonts w:cs="Arial"/>
        </w:rPr>
        <w:t xml:space="preserve"> </w:t>
      </w:r>
      <w:proofErr w:type="spellStart"/>
      <w:r w:rsidRPr="00791F68">
        <w:rPr>
          <w:rFonts w:cs="Arial"/>
        </w:rPr>
        <w:t>Nutr</w:t>
      </w:r>
      <w:proofErr w:type="spellEnd"/>
      <w:r w:rsidR="008945AE">
        <w:rPr>
          <w:rFonts w:cs="Arial"/>
        </w:rPr>
        <w:t xml:space="preserve"> 68:768–77</w:t>
      </w:r>
    </w:p>
    <w:p w14:paraId="385D95DB" w14:textId="77777777" w:rsidR="003F4881" w:rsidRPr="00791F68" w:rsidRDefault="003F4881" w:rsidP="003F4881">
      <w:pPr>
        <w:autoSpaceDE w:val="0"/>
        <w:autoSpaceDN w:val="0"/>
        <w:adjustRightInd w:val="0"/>
        <w:rPr>
          <w:rFonts w:cs="Arial"/>
        </w:rPr>
      </w:pPr>
    </w:p>
    <w:p w14:paraId="1DEB1B8C" w14:textId="6F31D161" w:rsidR="0054294B" w:rsidRPr="00791F68" w:rsidRDefault="00F7114A" w:rsidP="0054294B">
      <w:pPr>
        <w:autoSpaceDE w:val="0"/>
        <w:autoSpaceDN w:val="0"/>
        <w:adjustRightInd w:val="0"/>
        <w:rPr>
          <w:rFonts w:cs="Arial"/>
        </w:rPr>
      </w:pPr>
      <w:proofErr w:type="spellStart"/>
      <w:r w:rsidRPr="00791F68">
        <w:rPr>
          <w:rFonts w:cs="Arial"/>
        </w:rPr>
        <w:t>Labonte</w:t>
      </w:r>
      <w:proofErr w:type="spellEnd"/>
      <w:r w:rsidRPr="00791F68">
        <w:rPr>
          <w:rFonts w:cs="Arial"/>
        </w:rPr>
        <w:t xml:space="preserve">, ME, Couture, P, </w:t>
      </w:r>
      <w:proofErr w:type="spellStart"/>
      <w:r w:rsidRPr="00791F68">
        <w:rPr>
          <w:rFonts w:cs="Arial"/>
        </w:rPr>
        <w:t>Paquin</w:t>
      </w:r>
      <w:proofErr w:type="spellEnd"/>
      <w:r w:rsidRPr="00791F68">
        <w:rPr>
          <w:rFonts w:cs="Arial"/>
        </w:rPr>
        <w:t xml:space="preserve"> P, </w:t>
      </w:r>
      <w:proofErr w:type="spellStart"/>
      <w:r w:rsidRPr="00791F68">
        <w:rPr>
          <w:rFonts w:cs="Arial"/>
        </w:rPr>
        <w:t>Chouinard</w:t>
      </w:r>
      <w:proofErr w:type="spellEnd"/>
      <w:r w:rsidRPr="00791F68">
        <w:rPr>
          <w:rFonts w:cs="Arial"/>
        </w:rPr>
        <w:t xml:space="preserve"> Y, Lemieux S, </w:t>
      </w:r>
      <w:proofErr w:type="spellStart"/>
      <w:r w:rsidRPr="00791F68">
        <w:rPr>
          <w:rFonts w:cs="Arial"/>
        </w:rPr>
        <w:t>Lamarche</w:t>
      </w:r>
      <w:proofErr w:type="spellEnd"/>
      <w:r w:rsidR="0054294B" w:rsidRPr="00791F68">
        <w:rPr>
          <w:rFonts w:cs="Arial"/>
        </w:rPr>
        <w:t xml:space="preserve"> B</w:t>
      </w:r>
      <w:r w:rsidR="00D32DB4">
        <w:rPr>
          <w:rFonts w:cs="Arial"/>
        </w:rPr>
        <w:t xml:space="preserve"> (2011)</w:t>
      </w:r>
      <w:r w:rsidR="0054294B" w:rsidRPr="00791F68">
        <w:rPr>
          <w:rFonts w:cs="Arial"/>
        </w:rPr>
        <w:t xml:space="preserve"> Comparison of the impact of trans fatty acids from ruminant and industrial sources on surrogate markers of cholesterol homeostasis in healthy men. </w:t>
      </w:r>
      <w:proofErr w:type="spellStart"/>
      <w:r w:rsidR="0054294B" w:rsidRPr="00791F68">
        <w:rPr>
          <w:rFonts w:cs="Arial"/>
          <w:iCs/>
        </w:rPr>
        <w:t>Mol</w:t>
      </w:r>
      <w:proofErr w:type="spellEnd"/>
      <w:r w:rsidR="0054294B" w:rsidRPr="00791F68">
        <w:rPr>
          <w:rFonts w:cs="Arial"/>
          <w:iCs/>
        </w:rPr>
        <w:t xml:space="preserve"> </w:t>
      </w:r>
      <w:proofErr w:type="spellStart"/>
      <w:r w:rsidR="0054294B" w:rsidRPr="00791F68">
        <w:rPr>
          <w:rFonts w:cs="Arial"/>
          <w:iCs/>
        </w:rPr>
        <w:t>Nutr</w:t>
      </w:r>
      <w:proofErr w:type="spellEnd"/>
      <w:r w:rsidR="0054294B" w:rsidRPr="00791F68">
        <w:rPr>
          <w:rFonts w:cs="Arial"/>
          <w:iCs/>
        </w:rPr>
        <w:t xml:space="preserve"> Food </w:t>
      </w:r>
      <w:r w:rsidR="0054294B" w:rsidRPr="001C72E4">
        <w:rPr>
          <w:rFonts w:cs="Arial"/>
          <w:iCs/>
        </w:rPr>
        <w:t>Res 55</w:t>
      </w:r>
      <w:r w:rsidR="0054294B" w:rsidRPr="007E2015">
        <w:rPr>
          <w:rFonts w:cs="Arial"/>
          <w:iCs/>
        </w:rPr>
        <w:t xml:space="preserve"> </w:t>
      </w:r>
      <w:proofErr w:type="spellStart"/>
      <w:r w:rsidR="0054294B" w:rsidRPr="007E2015">
        <w:rPr>
          <w:rFonts w:cs="Arial"/>
          <w:iCs/>
        </w:rPr>
        <w:t>Suppl</w:t>
      </w:r>
      <w:proofErr w:type="spellEnd"/>
      <w:r w:rsidR="0054294B" w:rsidRPr="00791F68">
        <w:rPr>
          <w:rFonts w:cs="Arial"/>
          <w:i/>
          <w:iCs/>
        </w:rPr>
        <w:t xml:space="preserve"> 2</w:t>
      </w:r>
      <w:r w:rsidR="000C0778">
        <w:rPr>
          <w:rFonts w:cs="Arial"/>
        </w:rPr>
        <w:t>, S241-247</w:t>
      </w:r>
    </w:p>
    <w:p w14:paraId="2B07858C" w14:textId="77777777" w:rsidR="0054294B" w:rsidRPr="00791F68" w:rsidRDefault="0054294B" w:rsidP="0054294B">
      <w:pPr>
        <w:autoSpaceDE w:val="0"/>
        <w:autoSpaceDN w:val="0"/>
        <w:adjustRightInd w:val="0"/>
        <w:rPr>
          <w:rFonts w:cs="Arial"/>
        </w:rPr>
      </w:pPr>
    </w:p>
    <w:p w14:paraId="66755E52" w14:textId="29551648" w:rsidR="0054294B" w:rsidRPr="00791F68" w:rsidRDefault="0054294B" w:rsidP="0054294B">
      <w:pPr>
        <w:autoSpaceDE w:val="0"/>
        <w:autoSpaceDN w:val="0"/>
        <w:adjustRightInd w:val="0"/>
        <w:rPr>
          <w:rFonts w:cs="Arial"/>
        </w:rPr>
      </w:pPr>
      <w:r w:rsidRPr="00791F68">
        <w:rPr>
          <w:rFonts w:cs="Arial"/>
        </w:rPr>
        <w:t>L</w:t>
      </w:r>
      <w:r w:rsidR="00F7114A" w:rsidRPr="00791F68">
        <w:rPr>
          <w:rFonts w:cs="Arial"/>
        </w:rPr>
        <w:t>acroix E, Charest A, Cyr A</w:t>
      </w:r>
      <w:r w:rsidRPr="00791F68">
        <w:rPr>
          <w:rFonts w:cs="Arial"/>
        </w:rPr>
        <w:t xml:space="preserve">, </w:t>
      </w:r>
      <w:proofErr w:type="spellStart"/>
      <w:r w:rsidRPr="00791F68">
        <w:rPr>
          <w:rFonts w:cs="Arial"/>
        </w:rPr>
        <w:t>Baril</w:t>
      </w:r>
      <w:proofErr w:type="spellEnd"/>
      <w:r w:rsidRPr="00791F68">
        <w:rPr>
          <w:rFonts w:cs="Arial"/>
        </w:rPr>
        <w:t>-Gravel</w:t>
      </w:r>
      <w:r w:rsidR="00F7114A" w:rsidRPr="00791F68">
        <w:rPr>
          <w:rFonts w:cs="Arial"/>
        </w:rPr>
        <w:t xml:space="preserve"> L, </w:t>
      </w:r>
      <w:proofErr w:type="spellStart"/>
      <w:r w:rsidR="00F7114A" w:rsidRPr="00791F68">
        <w:rPr>
          <w:rFonts w:cs="Arial"/>
        </w:rPr>
        <w:t>Lebeuf</w:t>
      </w:r>
      <w:proofErr w:type="spellEnd"/>
      <w:r w:rsidR="00F7114A" w:rsidRPr="00791F68">
        <w:rPr>
          <w:rFonts w:cs="Arial"/>
        </w:rPr>
        <w:t xml:space="preserve"> Y, </w:t>
      </w:r>
      <w:proofErr w:type="spellStart"/>
      <w:r w:rsidR="00F7114A" w:rsidRPr="00791F68">
        <w:rPr>
          <w:rFonts w:cs="Arial"/>
        </w:rPr>
        <w:t>Paquin</w:t>
      </w:r>
      <w:proofErr w:type="spellEnd"/>
      <w:r w:rsidRPr="00791F68">
        <w:rPr>
          <w:rFonts w:cs="Arial"/>
        </w:rPr>
        <w:t xml:space="preserve"> P</w:t>
      </w:r>
      <w:r w:rsidR="00F7114A" w:rsidRPr="00791F68">
        <w:rPr>
          <w:rFonts w:cs="Arial"/>
        </w:rPr>
        <w:t xml:space="preserve">, </w:t>
      </w:r>
      <w:proofErr w:type="spellStart"/>
      <w:r w:rsidR="00F7114A" w:rsidRPr="00791F68">
        <w:rPr>
          <w:rFonts w:cs="Arial"/>
        </w:rPr>
        <w:t>Lamarche</w:t>
      </w:r>
      <w:proofErr w:type="spellEnd"/>
      <w:r w:rsidR="008945AE">
        <w:rPr>
          <w:rFonts w:cs="Arial"/>
        </w:rPr>
        <w:t xml:space="preserve"> B</w:t>
      </w:r>
      <w:r w:rsidRPr="00791F68">
        <w:rPr>
          <w:rFonts w:cs="Arial"/>
        </w:rPr>
        <w:t xml:space="preserve"> (2012). Randomized controlled study of the effect of a butter naturally enriched in </w:t>
      </w:r>
      <w:proofErr w:type="gramStart"/>
      <w:r w:rsidRPr="00791F68">
        <w:rPr>
          <w:rFonts w:cs="Arial"/>
        </w:rPr>
        <w:t>trans</w:t>
      </w:r>
      <w:proofErr w:type="gramEnd"/>
      <w:r w:rsidRPr="00791F68">
        <w:rPr>
          <w:rFonts w:cs="Arial"/>
        </w:rPr>
        <w:t xml:space="preserve"> fatty acids on blood lipids</w:t>
      </w:r>
      <w:r w:rsidR="00F7114A" w:rsidRPr="00791F68">
        <w:rPr>
          <w:rFonts w:cs="Arial"/>
        </w:rPr>
        <w:t xml:space="preserve">. </w:t>
      </w:r>
      <w:hyperlink r:id="rId46" w:tooltip="The American journal of clinical nutrition." w:history="1">
        <w:r w:rsidR="00F7114A" w:rsidRPr="00791F68">
          <w:rPr>
            <w:rFonts w:cs="Arial"/>
          </w:rPr>
          <w:t xml:space="preserve">Am J </w:t>
        </w:r>
        <w:proofErr w:type="spellStart"/>
        <w:r w:rsidR="00F7114A" w:rsidRPr="00791F68">
          <w:rPr>
            <w:rFonts w:cs="Arial"/>
          </w:rPr>
          <w:t>Clin</w:t>
        </w:r>
        <w:proofErr w:type="spellEnd"/>
        <w:r w:rsidR="00F7114A" w:rsidRPr="00791F68">
          <w:rPr>
            <w:rFonts w:cs="Arial"/>
          </w:rPr>
          <w:t xml:space="preserve"> </w:t>
        </w:r>
        <w:proofErr w:type="spellStart"/>
        <w:r w:rsidR="00F7114A" w:rsidRPr="00791F68">
          <w:rPr>
            <w:rFonts w:cs="Arial"/>
          </w:rPr>
          <w:t>Nutr</w:t>
        </w:r>
        <w:proofErr w:type="spellEnd"/>
        <w:r w:rsidR="00F7114A" w:rsidRPr="00791F68">
          <w:rPr>
            <w:rFonts w:cs="Arial"/>
          </w:rPr>
          <w:t xml:space="preserve"> </w:t>
        </w:r>
      </w:hyperlink>
      <w:r w:rsidR="000C0778">
        <w:rPr>
          <w:rFonts w:cs="Arial"/>
        </w:rPr>
        <w:t>95:318-25</w:t>
      </w:r>
    </w:p>
    <w:p w14:paraId="4E6D7262" w14:textId="77777777" w:rsidR="00096660" w:rsidRPr="00791F68" w:rsidRDefault="00096660" w:rsidP="00952C55">
      <w:pPr>
        <w:autoSpaceDE w:val="0"/>
        <w:autoSpaceDN w:val="0"/>
        <w:adjustRightInd w:val="0"/>
        <w:rPr>
          <w:rFonts w:cs="Arial"/>
        </w:rPr>
      </w:pPr>
    </w:p>
    <w:p w14:paraId="3BE4BE74" w14:textId="577A75C8" w:rsidR="00F61EF7" w:rsidRPr="00791F68" w:rsidRDefault="00706423" w:rsidP="00706423">
      <w:pPr>
        <w:autoSpaceDE w:val="0"/>
        <w:autoSpaceDN w:val="0"/>
        <w:adjustRightInd w:val="0"/>
        <w:rPr>
          <w:rFonts w:cs="Arial"/>
        </w:rPr>
      </w:pPr>
      <w:r w:rsidRPr="00791F68">
        <w:rPr>
          <w:rFonts w:cs="Arial"/>
        </w:rPr>
        <w:t xml:space="preserve">Laine DC, Snodgrass CM, Dawson EA, </w:t>
      </w:r>
      <w:proofErr w:type="spellStart"/>
      <w:r w:rsidRPr="00791F68">
        <w:rPr>
          <w:rFonts w:cs="Arial"/>
        </w:rPr>
        <w:t>Ener</w:t>
      </w:r>
      <w:proofErr w:type="spellEnd"/>
      <w:r w:rsidRPr="00791F68">
        <w:rPr>
          <w:rFonts w:cs="Arial"/>
        </w:rPr>
        <w:t xml:space="preserve"> MA, </w:t>
      </w:r>
      <w:proofErr w:type="spellStart"/>
      <w:r w:rsidRPr="00791F68">
        <w:rPr>
          <w:rFonts w:cs="Arial"/>
        </w:rPr>
        <w:t>Kuba</w:t>
      </w:r>
      <w:proofErr w:type="spellEnd"/>
      <w:r w:rsidRPr="00791F68">
        <w:rPr>
          <w:rFonts w:cs="Arial"/>
        </w:rPr>
        <w:t xml:space="preserve"> K, Frantz ID</w:t>
      </w:r>
      <w:r w:rsidR="00F94E52">
        <w:rPr>
          <w:rFonts w:cs="Arial"/>
        </w:rPr>
        <w:t xml:space="preserve"> (</w:t>
      </w:r>
      <w:r w:rsidR="00F94E52" w:rsidRPr="00791F68">
        <w:rPr>
          <w:rFonts w:cs="Arial"/>
        </w:rPr>
        <w:t>1982</w:t>
      </w:r>
      <w:r w:rsidR="00F94E52">
        <w:rPr>
          <w:rFonts w:cs="Arial"/>
        </w:rPr>
        <w:t>)</w:t>
      </w:r>
      <w:r w:rsidR="00741B94" w:rsidRPr="00791F68">
        <w:rPr>
          <w:rFonts w:cs="Arial"/>
        </w:rPr>
        <w:t xml:space="preserve"> </w:t>
      </w:r>
      <w:r w:rsidRPr="00791F68">
        <w:rPr>
          <w:rFonts w:cs="Arial"/>
        </w:rPr>
        <w:t xml:space="preserve">Lightly hydrogenated soy oil versus other vegetable oils as a </w:t>
      </w:r>
      <w:proofErr w:type="spellStart"/>
      <w:r w:rsidRPr="00791F68">
        <w:rPr>
          <w:rFonts w:cs="Arial"/>
        </w:rPr>
        <w:t>lipidlowering</w:t>
      </w:r>
      <w:proofErr w:type="spellEnd"/>
      <w:r w:rsidR="00741B94" w:rsidRPr="00791F68">
        <w:rPr>
          <w:rFonts w:cs="Arial"/>
        </w:rPr>
        <w:t xml:space="preserve"> </w:t>
      </w:r>
      <w:r w:rsidRPr="00791F68">
        <w:rPr>
          <w:rFonts w:cs="Arial"/>
        </w:rPr>
        <w:t xml:space="preserve">dietary constituent. </w:t>
      </w:r>
      <w:proofErr w:type="gramStart"/>
      <w:r w:rsidRPr="00791F68">
        <w:rPr>
          <w:rFonts w:cs="Arial"/>
        </w:rPr>
        <w:t>Am</w:t>
      </w:r>
      <w:proofErr w:type="gramEnd"/>
      <w:r w:rsidRPr="00791F68">
        <w:rPr>
          <w:rFonts w:cs="Arial"/>
        </w:rPr>
        <w:t xml:space="preserve"> J </w:t>
      </w:r>
      <w:proofErr w:type="spellStart"/>
      <w:r w:rsidRPr="00791F68">
        <w:rPr>
          <w:rFonts w:cs="Arial"/>
        </w:rPr>
        <w:t>Clin</w:t>
      </w:r>
      <w:proofErr w:type="spellEnd"/>
      <w:r w:rsidRPr="00791F68">
        <w:rPr>
          <w:rFonts w:cs="Arial"/>
        </w:rPr>
        <w:t xml:space="preserve"> </w:t>
      </w:r>
      <w:proofErr w:type="spellStart"/>
      <w:r w:rsidRPr="00791F68">
        <w:rPr>
          <w:rFonts w:cs="Arial"/>
        </w:rPr>
        <w:t>Nutr</w:t>
      </w:r>
      <w:proofErr w:type="spellEnd"/>
      <w:r w:rsidR="007E2015">
        <w:rPr>
          <w:rFonts w:cs="Arial"/>
        </w:rPr>
        <w:t xml:space="preserve"> </w:t>
      </w:r>
      <w:r w:rsidR="000C0778">
        <w:rPr>
          <w:rFonts w:cs="Arial"/>
        </w:rPr>
        <w:t>35:683–90</w:t>
      </w:r>
    </w:p>
    <w:p w14:paraId="32E56409" w14:textId="77777777" w:rsidR="007D31D9" w:rsidRPr="00791F68" w:rsidRDefault="007D31D9" w:rsidP="00952C55">
      <w:pPr>
        <w:autoSpaceDE w:val="0"/>
        <w:autoSpaceDN w:val="0"/>
        <w:adjustRightInd w:val="0"/>
        <w:rPr>
          <w:rFonts w:cs="Arial"/>
        </w:rPr>
      </w:pPr>
    </w:p>
    <w:p w14:paraId="253B77C0" w14:textId="6FAE297E" w:rsidR="007D31D9" w:rsidRPr="00791F68" w:rsidRDefault="007D31D9" w:rsidP="00952C55">
      <w:pPr>
        <w:autoSpaceDE w:val="0"/>
        <w:autoSpaceDN w:val="0"/>
        <w:adjustRightInd w:val="0"/>
        <w:rPr>
          <w:rFonts w:cs="Arial"/>
        </w:rPr>
      </w:pPr>
      <w:r w:rsidRPr="00791F68">
        <w:rPr>
          <w:rFonts w:cs="Arial"/>
        </w:rPr>
        <w:t xml:space="preserve">Lichtenstein AH, </w:t>
      </w:r>
      <w:proofErr w:type="spellStart"/>
      <w:r w:rsidRPr="00791F68">
        <w:rPr>
          <w:rFonts w:cs="Arial"/>
        </w:rPr>
        <w:t>Ausman</w:t>
      </w:r>
      <w:proofErr w:type="spellEnd"/>
      <w:r w:rsidRPr="00791F68">
        <w:rPr>
          <w:rFonts w:cs="Arial"/>
        </w:rPr>
        <w:t xml:space="preserve"> LM, Carrasco W, Jenner JL, </w:t>
      </w:r>
      <w:proofErr w:type="spellStart"/>
      <w:r w:rsidRPr="00791F68">
        <w:rPr>
          <w:rFonts w:cs="Arial"/>
        </w:rPr>
        <w:t>Ordovas</w:t>
      </w:r>
      <w:proofErr w:type="spellEnd"/>
      <w:r w:rsidRPr="00791F68">
        <w:rPr>
          <w:rFonts w:cs="Arial"/>
        </w:rPr>
        <w:t xml:space="preserve"> JM, </w:t>
      </w:r>
      <w:r w:rsidR="008945AE">
        <w:rPr>
          <w:rFonts w:cs="Arial"/>
        </w:rPr>
        <w:t>Schaefer EJ</w:t>
      </w:r>
      <w:r w:rsidRPr="00791F68">
        <w:rPr>
          <w:rFonts w:cs="Arial"/>
        </w:rPr>
        <w:t xml:space="preserve"> (1993) Hydrogenation impairs the </w:t>
      </w:r>
      <w:proofErr w:type="spellStart"/>
      <w:r w:rsidRPr="00791F68">
        <w:rPr>
          <w:rFonts w:cs="Arial"/>
        </w:rPr>
        <w:t>hypolipidemic</w:t>
      </w:r>
      <w:proofErr w:type="spellEnd"/>
      <w:r w:rsidRPr="00791F68">
        <w:rPr>
          <w:rFonts w:cs="Arial"/>
        </w:rPr>
        <w:t xml:space="preserve"> effect of corn oil in huma</w:t>
      </w:r>
      <w:r w:rsidR="008945AE">
        <w:rPr>
          <w:rFonts w:cs="Arial"/>
        </w:rPr>
        <w:t>ns: h</w:t>
      </w:r>
      <w:r w:rsidRPr="00791F68">
        <w:rPr>
          <w:rFonts w:cs="Arial"/>
        </w:rPr>
        <w:t xml:space="preserve">ydrogenation, trans fatty acids, and plasma lipids. </w:t>
      </w:r>
      <w:proofErr w:type="spellStart"/>
      <w:r w:rsidRPr="00791F68">
        <w:rPr>
          <w:rFonts w:cs="Arial"/>
        </w:rPr>
        <w:t>Arteriosc</w:t>
      </w:r>
      <w:proofErr w:type="spellEnd"/>
      <w:r w:rsidR="007E2015">
        <w:rPr>
          <w:rFonts w:cs="Arial"/>
        </w:rPr>
        <w:t xml:space="preserve"> </w:t>
      </w:r>
      <w:proofErr w:type="spellStart"/>
      <w:r w:rsidR="007E2015">
        <w:rPr>
          <w:rFonts w:cs="Arial"/>
        </w:rPr>
        <w:t>Thromb</w:t>
      </w:r>
      <w:proofErr w:type="spellEnd"/>
      <w:r w:rsidR="007E2015">
        <w:rPr>
          <w:rFonts w:cs="Arial"/>
        </w:rPr>
        <w:t xml:space="preserve"> 13:</w:t>
      </w:r>
      <w:r w:rsidRPr="00791F68">
        <w:rPr>
          <w:rFonts w:cs="Arial"/>
        </w:rPr>
        <w:t>154–161</w:t>
      </w:r>
    </w:p>
    <w:p w14:paraId="756DC95A" w14:textId="77777777" w:rsidR="007D31D9" w:rsidRPr="00791F68" w:rsidRDefault="007D31D9" w:rsidP="00952C55">
      <w:pPr>
        <w:autoSpaceDE w:val="0"/>
        <w:autoSpaceDN w:val="0"/>
        <w:adjustRightInd w:val="0"/>
        <w:rPr>
          <w:rFonts w:cs="Arial"/>
        </w:rPr>
      </w:pPr>
    </w:p>
    <w:p w14:paraId="19DC8595" w14:textId="7677810F" w:rsidR="007D31D9" w:rsidRPr="00791F68" w:rsidRDefault="007D31D9" w:rsidP="00952C55">
      <w:pPr>
        <w:autoSpaceDE w:val="0"/>
        <w:autoSpaceDN w:val="0"/>
        <w:adjustRightInd w:val="0"/>
        <w:rPr>
          <w:rFonts w:cs="Arial"/>
        </w:rPr>
      </w:pPr>
      <w:r w:rsidRPr="00791F68">
        <w:rPr>
          <w:rFonts w:cs="Arial"/>
        </w:rPr>
        <w:t xml:space="preserve">Lichtenstein AH, </w:t>
      </w:r>
      <w:proofErr w:type="spellStart"/>
      <w:r w:rsidRPr="00791F68">
        <w:rPr>
          <w:rFonts w:cs="Arial"/>
        </w:rPr>
        <w:t>Ausman</w:t>
      </w:r>
      <w:proofErr w:type="spellEnd"/>
      <w:r w:rsidRPr="00791F68">
        <w:rPr>
          <w:rFonts w:cs="Arial"/>
        </w:rPr>
        <w:t xml:space="preserve"> LM, </w:t>
      </w:r>
      <w:proofErr w:type="spellStart"/>
      <w:r w:rsidRPr="00791F68">
        <w:rPr>
          <w:rFonts w:cs="Arial"/>
        </w:rPr>
        <w:t>Jalbert</w:t>
      </w:r>
      <w:proofErr w:type="spellEnd"/>
      <w:r w:rsidRPr="00791F68">
        <w:rPr>
          <w:rFonts w:cs="Arial"/>
        </w:rPr>
        <w:t xml:space="preserve"> SM, Schaefer EJ (1999) </w:t>
      </w:r>
      <w:proofErr w:type="gramStart"/>
      <w:r w:rsidRPr="00791F68">
        <w:rPr>
          <w:rFonts w:cs="Arial"/>
        </w:rPr>
        <w:t>Effects</w:t>
      </w:r>
      <w:proofErr w:type="gramEnd"/>
      <w:r w:rsidRPr="00791F68">
        <w:rPr>
          <w:rFonts w:cs="Arial"/>
        </w:rPr>
        <w:t xml:space="preserve"> of different forms of dietary hydrogenated fats on serum lipoprotein cholesterol</w:t>
      </w:r>
      <w:r w:rsidR="00544A04" w:rsidRPr="00791F68">
        <w:rPr>
          <w:rFonts w:cs="Arial"/>
        </w:rPr>
        <w:t xml:space="preserve"> </w:t>
      </w:r>
      <w:r w:rsidRPr="00791F68">
        <w:rPr>
          <w:rFonts w:cs="Arial"/>
        </w:rPr>
        <w:t>level</w:t>
      </w:r>
      <w:r w:rsidR="007E2015">
        <w:rPr>
          <w:rFonts w:cs="Arial"/>
        </w:rPr>
        <w:t xml:space="preserve">s. N </w:t>
      </w:r>
      <w:proofErr w:type="spellStart"/>
      <w:r w:rsidR="007E2015">
        <w:rPr>
          <w:rFonts w:cs="Arial"/>
        </w:rPr>
        <w:t>Engl</w:t>
      </w:r>
      <w:proofErr w:type="spellEnd"/>
      <w:r w:rsidR="007E2015">
        <w:rPr>
          <w:rFonts w:cs="Arial"/>
        </w:rPr>
        <w:t xml:space="preserve"> J Med 340:</w:t>
      </w:r>
      <w:r w:rsidR="00373855">
        <w:rPr>
          <w:rFonts w:cs="Arial"/>
        </w:rPr>
        <w:t>1933–1940</w:t>
      </w:r>
    </w:p>
    <w:p w14:paraId="3BFD69EA" w14:textId="77777777" w:rsidR="007D31D9" w:rsidRPr="00791F68" w:rsidRDefault="007D31D9" w:rsidP="00952C55">
      <w:pPr>
        <w:autoSpaceDE w:val="0"/>
        <w:autoSpaceDN w:val="0"/>
        <w:adjustRightInd w:val="0"/>
        <w:rPr>
          <w:rFonts w:cs="Arial"/>
        </w:rPr>
      </w:pPr>
    </w:p>
    <w:p w14:paraId="03D5061C" w14:textId="596B9C6A" w:rsidR="007D31D9" w:rsidRPr="00791F68" w:rsidRDefault="007D31D9" w:rsidP="00952C55">
      <w:pPr>
        <w:autoSpaceDE w:val="0"/>
        <w:autoSpaceDN w:val="0"/>
        <w:adjustRightInd w:val="0"/>
        <w:rPr>
          <w:rFonts w:cs="Arial"/>
        </w:rPr>
      </w:pPr>
      <w:r w:rsidRPr="00791F68">
        <w:rPr>
          <w:rFonts w:cs="Arial"/>
        </w:rPr>
        <w:lastRenderedPageBreak/>
        <w:t xml:space="preserve">Lichtenstein AH, </w:t>
      </w:r>
      <w:proofErr w:type="spellStart"/>
      <w:r w:rsidRPr="00791F68">
        <w:rPr>
          <w:rFonts w:cs="Arial"/>
        </w:rPr>
        <w:t>Matthan</w:t>
      </w:r>
      <w:proofErr w:type="spellEnd"/>
      <w:r w:rsidRPr="00791F68">
        <w:rPr>
          <w:rFonts w:cs="Arial"/>
        </w:rPr>
        <w:t xml:space="preserve"> NR, </w:t>
      </w:r>
      <w:proofErr w:type="spellStart"/>
      <w:r w:rsidRPr="00791F68">
        <w:rPr>
          <w:rFonts w:cs="Arial"/>
        </w:rPr>
        <w:t>Jalbert</w:t>
      </w:r>
      <w:proofErr w:type="spellEnd"/>
      <w:r w:rsidRPr="00791F68">
        <w:rPr>
          <w:rFonts w:cs="Arial"/>
        </w:rPr>
        <w:t xml:space="preserve"> SM, </w:t>
      </w:r>
      <w:proofErr w:type="spellStart"/>
      <w:r w:rsidRPr="00791F68">
        <w:rPr>
          <w:rFonts w:cs="Arial"/>
        </w:rPr>
        <w:t>Resteghini</w:t>
      </w:r>
      <w:proofErr w:type="spellEnd"/>
      <w:r w:rsidRPr="00791F68">
        <w:rPr>
          <w:rFonts w:cs="Arial"/>
        </w:rPr>
        <w:t xml:space="preserve"> NA, Schaefer EJ, </w:t>
      </w:r>
      <w:proofErr w:type="spellStart"/>
      <w:r w:rsidR="008945AE">
        <w:rPr>
          <w:rFonts w:cs="Arial"/>
        </w:rPr>
        <w:t>Ausman</w:t>
      </w:r>
      <w:proofErr w:type="spellEnd"/>
      <w:r w:rsidR="008945AE">
        <w:rPr>
          <w:rFonts w:cs="Arial"/>
        </w:rPr>
        <w:t xml:space="preserve"> LM</w:t>
      </w:r>
      <w:r w:rsidRPr="00791F68">
        <w:rPr>
          <w:rFonts w:cs="Arial"/>
        </w:rPr>
        <w:t xml:space="preserve"> (2006) Novel soybean oils with different fatty acid profiles alter cardiovascular disease risk factors in moderately </w:t>
      </w:r>
      <w:proofErr w:type="spellStart"/>
      <w:r w:rsidRPr="00791F68">
        <w:rPr>
          <w:rFonts w:cs="Arial"/>
        </w:rPr>
        <w:t>hyperlipidemic</w:t>
      </w:r>
      <w:proofErr w:type="spellEnd"/>
      <w:r w:rsidRPr="00791F68">
        <w:rPr>
          <w:rFonts w:cs="Arial"/>
        </w:rPr>
        <w:t xml:space="preserve"> subjects. </w:t>
      </w:r>
      <w:proofErr w:type="gramStart"/>
      <w:r w:rsidRPr="00791F68">
        <w:rPr>
          <w:rFonts w:cs="Arial"/>
        </w:rPr>
        <w:t>Am</w:t>
      </w:r>
      <w:proofErr w:type="gramEnd"/>
      <w:r w:rsidRPr="00791F68">
        <w:rPr>
          <w:rFonts w:cs="Arial"/>
        </w:rPr>
        <w:t xml:space="preserve"> J </w:t>
      </w:r>
      <w:proofErr w:type="spellStart"/>
      <w:r w:rsidR="007E2015">
        <w:rPr>
          <w:rFonts w:cs="Arial"/>
        </w:rPr>
        <w:t>Clin</w:t>
      </w:r>
      <w:proofErr w:type="spellEnd"/>
      <w:r w:rsidR="007E2015">
        <w:rPr>
          <w:rFonts w:cs="Arial"/>
        </w:rPr>
        <w:t xml:space="preserve"> </w:t>
      </w:r>
      <w:proofErr w:type="spellStart"/>
      <w:r w:rsidR="007E2015">
        <w:rPr>
          <w:rFonts w:cs="Arial"/>
        </w:rPr>
        <w:t>Nutr</w:t>
      </w:r>
      <w:proofErr w:type="spellEnd"/>
      <w:r w:rsidR="007E2015">
        <w:rPr>
          <w:rFonts w:cs="Arial"/>
        </w:rPr>
        <w:t xml:space="preserve"> 84:</w:t>
      </w:r>
      <w:r w:rsidR="000C0778">
        <w:rPr>
          <w:rFonts w:cs="Arial"/>
        </w:rPr>
        <w:t>497–504</w:t>
      </w:r>
    </w:p>
    <w:p w14:paraId="1E581A52" w14:textId="77777777" w:rsidR="007D31D9" w:rsidRPr="00791F68" w:rsidRDefault="007D31D9" w:rsidP="00952C55">
      <w:pPr>
        <w:autoSpaceDE w:val="0"/>
        <w:autoSpaceDN w:val="0"/>
        <w:adjustRightInd w:val="0"/>
        <w:rPr>
          <w:rFonts w:cs="Arial"/>
        </w:rPr>
      </w:pPr>
    </w:p>
    <w:p w14:paraId="6CD2587A" w14:textId="2E876DA1" w:rsidR="007D31D9" w:rsidRPr="00791F68" w:rsidRDefault="007D31D9" w:rsidP="00952C55">
      <w:pPr>
        <w:autoSpaceDE w:val="0"/>
        <w:autoSpaceDN w:val="0"/>
        <w:adjustRightInd w:val="0"/>
        <w:rPr>
          <w:rFonts w:cs="Arial"/>
        </w:rPr>
      </w:pPr>
      <w:r w:rsidRPr="00791F68">
        <w:rPr>
          <w:rFonts w:cs="Arial"/>
        </w:rPr>
        <w:t xml:space="preserve">Lovejoy JC, Smith SR, Champagne CM, Most MM, </w:t>
      </w:r>
      <w:proofErr w:type="spellStart"/>
      <w:r w:rsidRPr="00791F68">
        <w:rPr>
          <w:rFonts w:cs="Arial"/>
        </w:rPr>
        <w:t>Lefevre</w:t>
      </w:r>
      <w:proofErr w:type="spellEnd"/>
      <w:r w:rsidRPr="00791F68">
        <w:rPr>
          <w:rFonts w:cs="Arial"/>
        </w:rPr>
        <w:t xml:space="preserve"> M, </w:t>
      </w:r>
      <w:proofErr w:type="spellStart"/>
      <w:r w:rsidR="008945AE">
        <w:rPr>
          <w:rFonts w:cs="Arial"/>
        </w:rPr>
        <w:t>DeLany</w:t>
      </w:r>
      <w:proofErr w:type="spellEnd"/>
      <w:r w:rsidR="008945AE">
        <w:rPr>
          <w:rFonts w:cs="Arial"/>
        </w:rPr>
        <w:t xml:space="preserve"> JP, </w:t>
      </w:r>
      <w:proofErr w:type="spellStart"/>
      <w:r w:rsidR="008945AE">
        <w:rPr>
          <w:rFonts w:cs="Arial"/>
        </w:rPr>
        <w:t>Denkins</w:t>
      </w:r>
      <w:proofErr w:type="spellEnd"/>
      <w:r w:rsidR="008945AE">
        <w:rPr>
          <w:rFonts w:cs="Arial"/>
        </w:rPr>
        <w:t xml:space="preserve"> YM, Rood JC, Veldhuis J, Bray GA</w:t>
      </w:r>
      <w:r w:rsidRPr="00791F68">
        <w:rPr>
          <w:rFonts w:cs="Arial"/>
        </w:rPr>
        <w:t>. (2002) Effects o</w:t>
      </w:r>
      <w:r w:rsidR="008945AE">
        <w:rPr>
          <w:rFonts w:cs="Arial"/>
        </w:rPr>
        <w:t>f diets enriched in saturated (palmitic), monounsaturated (o</w:t>
      </w:r>
      <w:r w:rsidRPr="00791F68">
        <w:rPr>
          <w:rFonts w:cs="Arial"/>
        </w:rPr>
        <w:t>leic), or</w:t>
      </w:r>
      <w:r w:rsidR="000623CF" w:rsidRPr="00791F68">
        <w:rPr>
          <w:rFonts w:cs="Arial"/>
        </w:rPr>
        <w:t xml:space="preserve"> </w:t>
      </w:r>
      <w:r w:rsidR="008945AE">
        <w:rPr>
          <w:rFonts w:cs="Arial"/>
        </w:rPr>
        <w:t>trans (</w:t>
      </w:r>
      <w:proofErr w:type="spellStart"/>
      <w:r w:rsidR="008945AE">
        <w:rPr>
          <w:rFonts w:cs="Arial"/>
        </w:rPr>
        <w:t>e</w:t>
      </w:r>
      <w:r w:rsidRPr="00791F68">
        <w:rPr>
          <w:rFonts w:cs="Arial"/>
        </w:rPr>
        <w:t>laidic</w:t>
      </w:r>
      <w:proofErr w:type="spellEnd"/>
      <w:r w:rsidRPr="00791F68">
        <w:rPr>
          <w:rFonts w:cs="Arial"/>
        </w:rPr>
        <w:t>) fatty acids on insulin sensitivity and substrate oxidation in healthy adul</w:t>
      </w:r>
      <w:r w:rsidR="007E2015">
        <w:rPr>
          <w:rFonts w:cs="Arial"/>
        </w:rPr>
        <w:t xml:space="preserve">ts. </w:t>
      </w:r>
      <w:r w:rsidR="007E2015" w:rsidRPr="008945AE">
        <w:rPr>
          <w:rFonts w:cs="Arial"/>
        </w:rPr>
        <w:t>Diabetes Care</w:t>
      </w:r>
      <w:r w:rsidR="007E2015">
        <w:rPr>
          <w:rFonts w:cs="Arial"/>
        </w:rPr>
        <w:t xml:space="preserve"> 25</w:t>
      </w:r>
      <w:r w:rsidR="008945AE">
        <w:rPr>
          <w:rFonts w:cs="Arial"/>
        </w:rPr>
        <w:t>(8)</w:t>
      </w:r>
      <w:r w:rsidR="007E2015">
        <w:rPr>
          <w:rFonts w:cs="Arial"/>
        </w:rPr>
        <w:t>:</w:t>
      </w:r>
      <w:r w:rsidR="000C0778">
        <w:rPr>
          <w:rFonts w:cs="Arial"/>
        </w:rPr>
        <w:t>1283–1288</w:t>
      </w:r>
    </w:p>
    <w:p w14:paraId="5C992FE3" w14:textId="77777777" w:rsidR="007D31D9" w:rsidRPr="00741B94" w:rsidRDefault="007D31D9" w:rsidP="00952C55">
      <w:pPr>
        <w:autoSpaceDE w:val="0"/>
        <w:autoSpaceDN w:val="0"/>
        <w:adjustRightInd w:val="0"/>
        <w:rPr>
          <w:rFonts w:cs="Arial"/>
        </w:rPr>
      </w:pPr>
    </w:p>
    <w:p w14:paraId="7BCF0322" w14:textId="2324CFAE" w:rsidR="007D31D9" w:rsidRPr="00791F68" w:rsidRDefault="007D31D9" w:rsidP="00952C55">
      <w:pPr>
        <w:autoSpaceDE w:val="0"/>
        <w:autoSpaceDN w:val="0"/>
        <w:adjustRightInd w:val="0"/>
        <w:rPr>
          <w:rFonts w:cs="Arial"/>
        </w:rPr>
      </w:pPr>
      <w:proofErr w:type="spellStart"/>
      <w:r w:rsidRPr="00791F68">
        <w:rPr>
          <w:rFonts w:cs="Arial"/>
        </w:rPr>
        <w:t>Mensink</w:t>
      </w:r>
      <w:proofErr w:type="spellEnd"/>
      <w:r w:rsidRPr="00791F68">
        <w:rPr>
          <w:rFonts w:cs="Arial"/>
        </w:rPr>
        <w:t xml:space="preserve"> RP, </w:t>
      </w:r>
      <w:proofErr w:type="spellStart"/>
      <w:r w:rsidRPr="00791F68">
        <w:rPr>
          <w:rFonts w:cs="Arial"/>
        </w:rPr>
        <w:t>Katan</w:t>
      </w:r>
      <w:proofErr w:type="spellEnd"/>
      <w:r w:rsidRPr="00791F68">
        <w:rPr>
          <w:rFonts w:cs="Arial"/>
        </w:rPr>
        <w:t xml:space="preserve"> MB (1990) Effect of dietary </w:t>
      </w:r>
      <w:proofErr w:type="gramStart"/>
      <w:r w:rsidRPr="00791F68">
        <w:rPr>
          <w:rFonts w:cs="Arial"/>
        </w:rPr>
        <w:t>trans</w:t>
      </w:r>
      <w:proofErr w:type="gramEnd"/>
      <w:r w:rsidRPr="00791F68">
        <w:rPr>
          <w:rFonts w:cs="Arial"/>
        </w:rPr>
        <w:t xml:space="preserve"> fatty acids on high-density and low-density lipoprotein cholesterol levels in healthy subj</w:t>
      </w:r>
      <w:r w:rsidR="007E2015">
        <w:rPr>
          <w:rFonts w:cs="Arial"/>
        </w:rPr>
        <w:t xml:space="preserve">ects. N </w:t>
      </w:r>
      <w:proofErr w:type="spellStart"/>
      <w:r w:rsidR="007E2015">
        <w:rPr>
          <w:rFonts w:cs="Arial"/>
        </w:rPr>
        <w:t>Engl</w:t>
      </w:r>
      <w:proofErr w:type="spellEnd"/>
      <w:r w:rsidR="007E2015">
        <w:rPr>
          <w:rFonts w:cs="Arial"/>
        </w:rPr>
        <w:t xml:space="preserve"> J Med 323:</w:t>
      </w:r>
      <w:r w:rsidR="000C0778">
        <w:rPr>
          <w:rFonts w:cs="Arial"/>
        </w:rPr>
        <w:t>439–445</w:t>
      </w:r>
    </w:p>
    <w:p w14:paraId="4FB8303A" w14:textId="77777777" w:rsidR="007D31D9" w:rsidRPr="00791F68" w:rsidRDefault="007D31D9" w:rsidP="00952C55">
      <w:pPr>
        <w:autoSpaceDE w:val="0"/>
        <w:autoSpaceDN w:val="0"/>
        <w:adjustRightInd w:val="0"/>
        <w:rPr>
          <w:rFonts w:cs="Arial"/>
        </w:rPr>
      </w:pPr>
    </w:p>
    <w:p w14:paraId="09F97263" w14:textId="0207D437" w:rsidR="007D31D9" w:rsidRPr="00791F68" w:rsidRDefault="007D31D9" w:rsidP="00952C55">
      <w:pPr>
        <w:autoSpaceDE w:val="0"/>
        <w:autoSpaceDN w:val="0"/>
        <w:adjustRightInd w:val="0"/>
        <w:rPr>
          <w:rFonts w:cs="Arial"/>
          <w:lang w:val="en"/>
        </w:rPr>
      </w:pPr>
      <w:proofErr w:type="spellStart"/>
      <w:r w:rsidRPr="00791F68">
        <w:rPr>
          <w:rFonts w:cs="Arial"/>
        </w:rPr>
        <w:t>Mensink</w:t>
      </w:r>
      <w:proofErr w:type="spellEnd"/>
      <w:r w:rsidRPr="00791F68">
        <w:rPr>
          <w:rFonts w:cs="Arial"/>
        </w:rPr>
        <w:t xml:space="preserve"> RP, </w:t>
      </w:r>
      <w:proofErr w:type="spellStart"/>
      <w:r w:rsidRPr="00791F68">
        <w:rPr>
          <w:rFonts w:cs="Arial"/>
        </w:rPr>
        <w:t>Zock</w:t>
      </w:r>
      <w:proofErr w:type="spellEnd"/>
      <w:r w:rsidRPr="00791F68">
        <w:rPr>
          <w:rFonts w:cs="Arial"/>
        </w:rPr>
        <w:t xml:space="preserve"> PL, Kester AD, </w:t>
      </w:r>
      <w:proofErr w:type="spellStart"/>
      <w:r w:rsidRPr="00791F68">
        <w:rPr>
          <w:rFonts w:cs="Arial"/>
        </w:rPr>
        <w:t>Katan</w:t>
      </w:r>
      <w:proofErr w:type="spellEnd"/>
      <w:r w:rsidRPr="00791F68">
        <w:rPr>
          <w:rFonts w:cs="Arial"/>
        </w:rPr>
        <w:t xml:space="preserve"> MB (2003) Effects of dietary fatty acids and carbohydrates on the ratio of serum total to HDL cholesterol and on</w:t>
      </w:r>
      <w:r w:rsidR="00BB64C6" w:rsidRPr="00791F68">
        <w:rPr>
          <w:rFonts w:cs="Arial"/>
        </w:rPr>
        <w:t xml:space="preserve"> </w:t>
      </w:r>
      <w:r w:rsidRPr="00791F68">
        <w:rPr>
          <w:rFonts w:cs="Arial"/>
        </w:rPr>
        <w:t>serum lipids and apolipoproteins: a meta-analysis of 60 controlled trial</w:t>
      </w:r>
      <w:r w:rsidR="004134E4">
        <w:rPr>
          <w:rFonts w:cs="Arial"/>
        </w:rPr>
        <w:t xml:space="preserve">s. </w:t>
      </w:r>
      <w:proofErr w:type="gramStart"/>
      <w:r w:rsidR="004134E4">
        <w:rPr>
          <w:rFonts w:cs="Arial"/>
        </w:rPr>
        <w:t>Am</w:t>
      </w:r>
      <w:proofErr w:type="gramEnd"/>
      <w:r w:rsidR="004134E4">
        <w:rPr>
          <w:rFonts w:cs="Arial"/>
        </w:rPr>
        <w:t xml:space="preserve"> J </w:t>
      </w:r>
      <w:proofErr w:type="spellStart"/>
      <w:r w:rsidR="004134E4">
        <w:rPr>
          <w:rFonts w:cs="Arial"/>
        </w:rPr>
        <w:t>Clin</w:t>
      </w:r>
      <w:proofErr w:type="spellEnd"/>
      <w:r w:rsidR="004134E4">
        <w:rPr>
          <w:rFonts w:cs="Arial"/>
        </w:rPr>
        <w:t xml:space="preserve"> </w:t>
      </w:r>
      <w:proofErr w:type="spellStart"/>
      <w:r w:rsidR="004134E4">
        <w:rPr>
          <w:rFonts w:cs="Arial"/>
        </w:rPr>
        <w:t>Nutr</w:t>
      </w:r>
      <w:proofErr w:type="spellEnd"/>
      <w:r w:rsidR="004134E4">
        <w:rPr>
          <w:rFonts w:cs="Arial"/>
        </w:rPr>
        <w:t xml:space="preserve"> 77</w:t>
      </w:r>
      <w:r w:rsidR="000C0778">
        <w:rPr>
          <w:rFonts w:cs="Arial"/>
        </w:rPr>
        <w:t>1146–1155</w:t>
      </w:r>
    </w:p>
    <w:p w14:paraId="41A5EB33" w14:textId="77777777" w:rsidR="007D31D9" w:rsidRPr="00791F68" w:rsidRDefault="007D31D9" w:rsidP="007D31D9">
      <w:pPr>
        <w:autoSpaceDE w:val="0"/>
        <w:autoSpaceDN w:val="0"/>
        <w:adjustRightInd w:val="0"/>
        <w:ind w:left="360"/>
        <w:rPr>
          <w:rFonts w:cs="Arial"/>
        </w:rPr>
      </w:pPr>
    </w:p>
    <w:p w14:paraId="153CD5F4" w14:textId="7CCEF946" w:rsidR="007D31D9" w:rsidRPr="00791F68" w:rsidRDefault="007D31D9" w:rsidP="007D31D9">
      <w:pPr>
        <w:autoSpaceDE w:val="0"/>
        <w:autoSpaceDN w:val="0"/>
        <w:adjustRightInd w:val="0"/>
        <w:rPr>
          <w:rFonts w:cs="Arial"/>
        </w:rPr>
      </w:pPr>
      <w:proofErr w:type="spellStart"/>
      <w:r w:rsidRPr="00791F68">
        <w:rPr>
          <w:rFonts w:cs="Arial"/>
        </w:rPr>
        <w:t>Motard</w:t>
      </w:r>
      <w:proofErr w:type="spellEnd"/>
      <w:r w:rsidRPr="00791F68">
        <w:rPr>
          <w:rFonts w:cs="Arial"/>
        </w:rPr>
        <w:t xml:space="preserve">-Belanger A, Charest A, </w:t>
      </w:r>
      <w:proofErr w:type="spellStart"/>
      <w:r w:rsidRPr="00791F68">
        <w:rPr>
          <w:rFonts w:cs="Arial"/>
        </w:rPr>
        <w:t>Grenier</w:t>
      </w:r>
      <w:proofErr w:type="spellEnd"/>
      <w:r w:rsidRPr="00791F68">
        <w:rPr>
          <w:rFonts w:cs="Arial"/>
        </w:rPr>
        <w:t xml:space="preserve"> G, </w:t>
      </w:r>
      <w:proofErr w:type="spellStart"/>
      <w:r w:rsidRPr="00791F68">
        <w:rPr>
          <w:rFonts w:cs="Arial"/>
        </w:rPr>
        <w:t>Paquin</w:t>
      </w:r>
      <w:proofErr w:type="spellEnd"/>
      <w:r w:rsidRPr="00791F68">
        <w:rPr>
          <w:rFonts w:cs="Arial"/>
        </w:rPr>
        <w:t xml:space="preserve"> P, </w:t>
      </w:r>
      <w:proofErr w:type="spellStart"/>
      <w:r w:rsidRPr="00791F68">
        <w:rPr>
          <w:rFonts w:cs="Arial"/>
        </w:rPr>
        <w:t>Chouinard</w:t>
      </w:r>
      <w:proofErr w:type="spellEnd"/>
      <w:r w:rsidRPr="00791F68">
        <w:rPr>
          <w:rFonts w:cs="Arial"/>
        </w:rPr>
        <w:t xml:space="preserve"> </w:t>
      </w:r>
      <w:r w:rsidRPr="004134E4">
        <w:rPr>
          <w:rFonts w:cs="Arial"/>
        </w:rPr>
        <w:t xml:space="preserve">Y, </w:t>
      </w:r>
      <w:hyperlink r:id="rId47" w:history="1">
        <w:r w:rsidR="004134E4" w:rsidRPr="004134E4">
          <w:rPr>
            <w:rFonts w:cs="Arial"/>
          </w:rPr>
          <w:t>Lemieux S</w:t>
        </w:r>
      </w:hyperlink>
      <w:r w:rsidR="004134E4" w:rsidRPr="004134E4">
        <w:rPr>
          <w:rFonts w:cs="Arial"/>
        </w:rPr>
        <w:t xml:space="preserve">, </w:t>
      </w:r>
      <w:hyperlink r:id="rId48" w:history="1">
        <w:r w:rsidR="004134E4" w:rsidRPr="004134E4">
          <w:rPr>
            <w:rFonts w:cs="Arial"/>
          </w:rPr>
          <w:t>Couture P</w:t>
        </w:r>
      </w:hyperlink>
      <w:r w:rsidR="004134E4" w:rsidRPr="004134E4">
        <w:rPr>
          <w:rFonts w:cs="Arial"/>
        </w:rPr>
        <w:t xml:space="preserve">, </w:t>
      </w:r>
      <w:hyperlink r:id="rId49" w:history="1">
        <w:proofErr w:type="spellStart"/>
        <w:r w:rsidR="004134E4" w:rsidRPr="004134E4">
          <w:rPr>
            <w:rFonts w:cs="Arial"/>
          </w:rPr>
          <w:t>Lamarche</w:t>
        </w:r>
        <w:proofErr w:type="spellEnd"/>
        <w:r w:rsidR="004134E4" w:rsidRPr="004134E4">
          <w:rPr>
            <w:rFonts w:cs="Arial"/>
          </w:rPr>
          <w:t xml:space="preserve"> B</w:t>
        </w:r>
      </w:hyperlink>
      <w:r w:rsidRPr="004134E4">
        <w:rPr>
          <w:rFonts w:cs="Arial"/>
        </w:rPr>
        <w:t xml:space="preserve"> (2008) Study of the effect of trans fatty acids from ruminants </w:t>
      </w:r>
      <w:r w:rsidRPr="00791F68">
        <w:rPr>
          <w:rFonts w:cs="Arial"/>
        </w:rPr>
        <w:t>on blood lipids and other risk factors for cardiovascular dise</w:t>
      </w:r>
      <w:r w:rsidR="007E2015">
        <w:rPr>
          <w:rFonts w:cs="Arial"/>
        </w:rPr>
        <w:t xml:space="preserve">ase. </w:t>
      </w:r>
      <w:proofErr w:type="gramStart"/>
      <w:r w:rsidR="007E2015">
        <w:rPr>
          <w:rFonts w:cs="Arial"/>
        </w:rPr>
        <w:t>Am</w:t>
      </w:r>
      <w:proofErr w:type="gramEnd"/>
      <w:r w:rsidR="007E2015">
        <w:rPr>
          <w:rFonts w:cs="Arial"/>
        </w:rPr>
        <w:t xml:space="preserve"> J </w:t>
      </w:r>
      <w:proofErr w:type="spellStart"/>
      <w:r w:rsidR="007E2015">
        <w:rPr>
          <w:rFonts w:cs="Arial"/>
        </w:rPr>
        <w:t>Clin</w:t>
      </w:r>
      <w:proofErr w:type="spellEnd"/>
      <w:r w:rsidR="007E2015">
        <w:rPr>
          <w:rFonts w:cs="Arial"/>
        </w:rPr>
        <w:t xml:space="preserve"> </w:t>
      </w:r>
      <w:proofErr w:type="spellStart"/>
      <w:r w:rsidR="007E2015">
        <w:rPr>
          <w:rFonts w:cs="Arial"/>
        </w:rPr>
        <w:t>Nutr</w:t>
      </w:r>
      <w:proofErr w:type="spellEnd"/>
      <w:r w:rsidR="007E2015">
        <w:rPr>
          <w:rFonts w:cs="Arial"/>
        </w:rPr>
        <w:t xml:space="preserve"> 87:</w:t>
      </w:r>
      <w:r w:rsidR="000C0778">
        <w:rPr>
          <w:rFonts w:cs="Arial"/>
        </w:rPr>
        <w:t>593–599</w:t>
      </w:r>
    </w:p>
    <w:p w14:paraId="59E89D9F" w14:textId="77777777" w:rsidR="007D31D9" w:rsidRPr="00791F68" w:rsidRDefault="007D31D9" w:rsidP="007D31D9">
      <w:pPr>
        <w:autoSpaceDE w:val="0"/>
        <w:autoSpaceDN w:val="0"/>
        <w:adjustRightInd w:val="0"/>
        <w:ind w:left="360"/>
        <w:rPr>
          <w:rFonts w:cs="Arial"/>
        </w:rPr>
      </w:pPr>
    </w:p>
    <w:p w14:paraId="4BF3CE81" w14:textId="1DB5F27E" w:rsidR="007D31D9" w:rsidRPr="00791F68" w:rsidRDefault="00D32DB4" w:rsidP="007D31D9">
      <w:pPr>
        <w:pStyle w:val="title10"/>
        <w:shd w:val="clear" w:color="auto" w:fill="FFFFFF"/>
        <w:rPr>
          <w:rFonts w:ascii="Arial" w:hAnsi="Arial" w:cs="Arial"/>
          <w:sz w:val="22"/>
          <w:szCs w:val="22"/>
        </w:rPr>
      </w:pPr>
      <w:proofErr w:type="spellStart"/>
      <w:r>
        <w:rPr>
          <w:rFonts w:ascii="Arial" w:hAnsi="Arial" w:cs="Arial"/>
          <w:sz w:val="22"/>
          <w:szCs w:val="22"/>
          <w:lang w:val="en"/>
        </w:rPr>
        <w:t>Mozaffarian</w:t>
      </w:r>
      <w:proofErr w:type="spellEnd"/>
      <w:r>
        <w:rPr>
          <w:rFonts w:ascii="Arial" w:hAnsi="Arial" w:cs="Arial"/>
          <w:sz w:val="22"/>
          <w:szCs w:val="22"/>
          <w:lang w:val="en"/>
        </w:rPr>
        <w:t xml:space="preserve"> D, Clarke R (2009)</w:t>
      </w:r>
      <w:r w:rsidR="007D31D9" w:rsidRPr="00791F68">
        <w:rPr>
          <w:rFonts w:ascii="Arial" w:hAnsi="Arial" w:cs="Arial"/>
          <w:sz w:val="22"/>
          <w:szCs w:val="22"/>
        </w:rPr>
        <w:t xml:space="preserve"> Quantitative effects on cardiovascular risk factors and coronary heart disease risk of replacing partially hydrogenated vegetable oils with other fats and oils. </w:t>
      </w:r>
      <w:proofErr w:type="spellStart"/>
      <w:r w:rsidR="007D31D9" w:rsidRPr="00791F68">
        <w:rPr>
          <w:rStyle w:val="jrnl"/>
          <w:rFonts w:ascii="Arial" w:hAnsi="Arial" w:cs="Arial"/>
          <w:sz w:val="22"/>
          <w:szCs w:val="22"/>
        </w:rPr>
        <w:t>Eur</w:t>
      </w:r>
      <w:proofErr w:type="spellEnd"/>
      <w:r w:rsidR="007D31D9" w:rsidRPr="00791F68">
        <w:rPr>
          <w:rStyle w:val="jrnl"/>
          <w:rFonts w:ascii="Arial" w:hAnsi="Arial" w:cs="Arial"/>
          <w:sz w:val="22"/>
          <w:szCs w:val="22"/>
        </w:rPr>
        <w:t xml:space="preserve"> J </w:t>
      </w:r>
      <w:proofErr w:type="spellStart"/>
      <w:r w:rsidR="007D31D9" w:rsidRPr="00791F68">
        <w:rPr>
          <w:rStyle w:val="jrnl"/>
          <w:rFonts w:ascii="Arial" w:hAnsi="Arial" w:cs="Arial"/>
          <w:sz w:val="22"/>
          <w:szCs w:val="22"/>
        </w:rPr>
        <w:t>Clin</w:t>
      </w:r>
      <w:proofErr w:type="spellEnd"/>
      <w:r w:rsidR="007D31D9" w:rsidRPr="00791F68">
        <w:rPr>
          <w:rStyle w:val="jrnl"/>
          <w:rFonts w:ascii="Arial" w:hAnsi="Arial" w:cs="Arial"/>
          <w:sz w:val="22"/>
          <w:szCs w:val="22"/>
        </w:rPr>
        <w:t xml:space="preserve"> </w:t>
      </w:r>
      <w:proofErr w:type="spellStart"/>
      <w:r w:rsidR="007D31D9" w:rsidRPr="00791F68">
        <w:rPr>
          <w:rStyle w:val="jrnl"/>
          <w:rFonts w:ascii="Arial" w:hAnsi="Arial" w:cs="Arial"/>
          <w:sz w:val="22"/>
          <w:szCs w:val="22"/>
        </w:rPr>
        <w:t>Nutr</w:t>
      </w:r>
      <w:proofErr w:type="spellEnd"/>
      <w:r w:rsidR="007E2015">
        <w:rPr>
          <w:rFonts w:ascii="Arial" w:hAnsi="Arial" w:cs="Arial"/>
          <w:sz w:val="22"/>
          <w:szCs w:val="22"/>
        </w:rPr>
        <w:t xml:space="preserve"> </w:t>
      </w:r>
      <w:r w:rsidR="000C0778">
        <w:rPr>
          <w:rFonts w:ascii="Arial" w:hAnsi="Arial" w:cs="Arial"/>
          <w:sz w:val="22"/>
          <w:szCs w:val="22"/>
        </w:rPr>
        <w:t xml:space="preserve">63 </w:t>
      </w:r>
      <w:proofErr w:type="spellStart"/>
      <w:r w:rsidR="000C0778">
        <w:rPr>
          <w:rFonts w:ascii="Arial" w:hAnsi="Arial" w:cs="Arial"/>
          <w:sz w:val="22"/>
          <w:szCs w:val="22"/>
        </w:rPr>
        <w:t>Suppl</w:t>
      </w:r>
      <w:proofErr w:type="spellEnd"/>
      <w:r w:rsidR="000C0778">
        <w:rPr>
          <w:rFonts w:ascii="Arial" w:hAnsi="Arial" w:cs="Arial"/>
          <w:sz w:val="22"/>
          <w:szCs w:val="22"/>
        </w:rPr>
        <w:t xml:space="preserve"> 2:S22-33</w:t>
      </w:r>
      <w:r w:rsidR="007D31D9" w:rsidRPr="00791F68">
        <w:rPr>
          <w:rFonts w:ascii="Arial" w:hAnsi="Arial" w:cs="Arial"/>
          <w:sz w:val="22"/>
          <w:szCs w:val="22"/>
        </w:rPr>
        <w:t xml:space="preserve"> </w:t>
      </w:r>
    </w:p>
    <w:p w14:paraId="475DC473" w14:textId="77777777" w:rsidR="00096660" w:rsidRPr="00791F68" w:rsidRDefault="00096660" w:rsidP="007D31D9">
      <w:pPr>
        <w:pStyle w:val="title10"/>
        <w:shd w:val="clear" w:color="auto" w:fill="FFFFFF"/>
        <w:rPr>
          <w:rFonts w:ascii="Arial" w:hAnsi="Arial" w:cs="Arial"/>
          <w:sz w:val="22"/>
          <w:szCs w:val="22"/>
        </w:rPr>
      </w:pPr>
    </w:p>
    <w:p w14:paraId="6345FA5C" w14:textId="20DB7CC6" w:rsidR="007D31D9" w:rsidRPr="00791F68" w:rsidRDefault="003F4881" w:rsidP="003F4881">
      <w:pPr>
        <w:autoSpaceDE w:val="0"/>
        <w:autoSpaceDN w:val="0"/>
        <w:adjustRightInd w:val="0"/>
        <w:rPr>
          <w:rFonts w:cs="Arial"/>
        </w:rPr>
      </w:pPr>
      <w:r w:rsidRPr="00791F68">
        <w:rPr>
          <w:rFonts w:cs="Arial"/>
        </w:rPr>
        <w:t xml:space="preserve">Müller H, </w:t>
      </w:r>
      <w:proofErr w:type="spellStart"/>
      <w:r w:rsidRPr="00791F68">
        <w:rPr>
          <w:rFonts w:cs="Arial"/>
        </w:rPr>
        <w:t>Jordal</w:t>
      </w:r>
      <w:proofErr w:type="spellEnd"/>
      <w:r w:rsidRPr="00791F68">
        <w:rPr>
          <w:rFonts w:cs="Arial"/>
        </w:rPr>
        <w:t xml:space="preserve"> O, </w:t>
      </w:r>
      <w:proofErr w:type="spellStart"/>
      <w:r w:rsidRPr="00791F68">
        <w:rPr>
          <w:rFonts w:cs="Arial"/>
        </w:rPr>
        <w:t>Ki</w:t>
      </w:r>
      <w:r w:rsidR="00D32DB4">
        <w:rPr>
          <w:rFonts w:cs="Arial"/>
        </w:rPr>
        <w:t>erulf</w:t>
      </w:r>
      <w:proofErr w:type="spellEnd"/>
      <w:r w:rsidR="00D32DB4">
        <w:rPr>
          <w:rFonts w:cs="Arial"/>
        </w:rPr>
        <w:t xml:space="preserve"> P, </w:t>
      </w:r>
      <w:proofErr w:type="spellStart"/>
      <w:r w:rsidR="00D32DB4">
        <w:rPr>
          <w:rFonts w:cs="Arial"/>
        </w:rPr>
        <w:t>Kirkhus</w:t>
      </w:r>
      <w:proofErr w:type="spellEnd"/>
      <w:r w:rsidR="00D32DB4">
        <w:rPr>
          <w:rFonts w:cs="Arial"/>
        </w:rPr>
        <w:t xml:space="preserve"> B, Pederson JI</w:t>
      </w:r>
      <w:r w:rsidRPr="00791F68">
        <w:rPr>
          <w:rFonts w:cs="Arial"/>
        </w:rPr>
        <w:t xml:space="preserve"> </w:t>
      </w:r>
      <w:r w:rsidR="00BB64C6" w:rsidRPr="00791F68">
        <w:rPr>
          <w:rFonts w:cs="Arial"/>
        </w:rPr>
        <w:t xml:space="preserve">(1998) </w:t>
      </w:r>
      <w:r w:rsidRPr="00791F68">
        <w:rPr>
          <w:rFonts w:cs="Arial"/>
        </w:rPr>
        <w:t>Replacement of partially hydrogenated soybean oil by palm oil in margarine without</w:t>
      </w:r>
      <w:r w:rsidR="00BB64C6" w:rsidRPr="00791F68">
        <w:rPr>
          <w:rFonts w:cs="Arial"/>
        </w:rPr>
        <w:t xml:space="preserve"> </w:t>
      </w:r>
      <w:proofErr w:type="spellStart"/>
      <w:r w:rsidRPr="00791F68">
        <w:rPr>
          <w:rFonts w:cs="Arial"/>
        </w:rPr>
        <w:t>unfavorable</w:t>
      </w:r>
      <w:proofErr w:type="spellEnd"/>
      <w:r w:rsidRPr="00791F68">
        <w:rPr>
          <w:rFonts w:cs="Arial"/>
        </w:rPr>
        <w:t xml:space="preserve"> effects </w:t>
      </w:r>
      <w:r w:rsidR="00BB64C6" w:rsidRPr="00791F68">
        <w:rPr>
          <w:rFonts w:cs="Arial"/>
        </w:rPr>
        <w:t xml:space="preserve">on serum lipoproteins. Lipids </w:t>
      </w:r>
      <w:r w:rsidR="007E2015">
        <w:rPr>
          <w:rFonts w:cs="Arial"/>
        </w:rPr>
        <w:t>33:</w:t>
      </w:r>
      <w:r w:rsidR="000C0778">
        <w:rPr>
          <w:rFonts w:cs="Arial"/>
        </w:rPr>
        <w:t>879–87</w:t>
      </w:r>
      <w:r w:rsidRPr="00791F68">
        <w:rPr>
          <w:rFonts w:cs="Arial"/>
        </w:rPr>
        <w:t xml:space="preserve"> </w:t>
      </w:r>
    </w:p>
    <w:p w14:paraId="4C3CA640" w14:textId="77777777" w:rsidR="003F4881" w:rsidRPr="00791F68" w:rsidRDefault="003F4881" w:rsidP="003F4881">
      <w:pPr>
        <w:pStyle w:val="title10"/>
        <w:shd w:val="clear" w:color="auto" w:fill="FFFFFF"/>
        <w:rPr>
          <w:rFonts w:ascii="Arial" w:hAnsi="Arial" w:cs="Arial"/>
          <w:sz w:val="22"/>
          <w:szCs w:val="22"/>
          <w:lang w:val="en"/>
        </w:rPr>
      </w:pPr>
    </w:p>
    <w:p w14:paraId="0EA290EA" w14:textId="3EDBA969" w:rsidR="007D31D9" w:rsidRPr="00791F68" w:rsidRDefault="007D31D9" w:rsidP="007D31D9">
      <w:pPr>
        <w:autoSpaceDE w:val="0"/>
        <w:autoSpaceDN w:val="0"/>
        <w:adjustRightInd w:val="0"/>
        <w:rPr>
          <w:rFonts w:cs="Arial"/>
        </w:rPr>
      </w:pPr>
      <w:proofErr w:type="spellStart"/>
      <w:r w:rsidRPr="00791F68">
        <w:rPr>
          <w:rFonts w:cs="Arial"/>
        </w:rPr>
        <w:t>Naumann</w:t>
      </w:r>
      <w:proofErr w:type="spellEnd"/>
      <w:r w:rsidRPr="00791F68">
        <w:rPr>
          <w:rFonts w:cs="Arial"/>
        </w:rPr>
        <w:t xml:space="preserve"> E, </w:t>
      </w:r>
      <w:proofErr w:type="spellStart"/>
      <w:r w:rsidRPr="00791F68">
        <w:rPr>
          <w:rFonts w:cs="Arial"/>
        </w:rPr>
        <w:t>Carpentier</w:t>
      </w:r>
      <w:proofErr w:type="spellEnd"/>
      <w:r w:rsidRPr="00791F68">
        <w:rPr>
          <w:rFonts w:cs="Arial"/>
        </w:rPr>
        <w:t xml:space="preserve"> YA, </w:t>
      </w:r>
      <w:proofErr w:type="spellStart"/>
      <w:r w:rsidRPr="00791F68">
        <w:rPr>
          <w:rFonts w:cs="Arial"/>
        </w:rPr>
        <w:t>Saebo</w:t>
      </w:r>
      <w:proofErr w:type="spellEnd"/>
      <w:r w:rsidRPr="00791F68">
        <w:rPr>
          <w:rFonts w:cs="Arial"/>
        </w:rPr>
        <w:t xml:space="preserve"> A, </w:t>
      </w:r>
      <w:proofErr w:type="spellStart"/>
      <w:r w:rsidRPr="00791F68">
        <w:rPr>
          <w:rFonts w:cs="Arial"/>
        </w:rPr>
        <w:t>Lassel</w:t>
      </w:r>
      <w:proofErr w:type="spellEnd"/>
      <w:r w:rsidRPr="00791F68">
        <w:rPr>
          <w:rFonts w:cs="Arial"/>
        </w:rPr>
        <w:t xml:space="preserve"> TS</w:t>
      </w:r>
      <w:r w:rsidRPr="001C1554">
        <w:rPr>
          <w:rFonts w:cs="Arial"/>
        </w:rPr>
        <w:t xml:space="preserve">, </w:t>
      </w:r>
      <w:proofErr w:type="spellStart"/>
      <w:r w:rsidRPr="001C1554">
        <w:rPr>
          <w:rFonts w:cs="Arial"/>
        </w:rPr>
        <w:t>Chardigny</w:t>
      </w:r>
      <w:proofErr w:type="spellEnd"/>
      <w:r w:rsidRPr="001C1554">
        <w:rPr>
          <w:rFonts w:cs="Arial"/>
        </w:rPr>
        <w:t xml:space="preserve"> JM, </w:t>
      </w:r>
      <w:hyperlink r:id="rId50" w:history="1">
        <w:proofErr w:type="spellStart"/>
        <w:r w:rsidR="00202CF8" w:rsidRPr="001C1554">
          <w:rPr>
            <w:rFonts w:cs="Arial"/>
          </w:rPr>
          <w:t>Mensink</w:t>
        </w:r>
        <w:proofErr w:type="spellEnd"/>
        <w:r w:rsidR="00202CF8" w:rsidRPr="001C1554">
          <w:rPr>
            <w:rFonts w:cs="Arial"/>
          </w:rPr>
          <w:t xml:space="preserve"> RP</w:t>
        </w:r>
      </w:hyperlink>
      <w:r w:rsidR="00202CF8" w:rsidRPr="001C1554">
        <w:rPr>
          <w:rFonts w:cs="Arial"/>
        </w:rPr>
        <w:t xml:space="preserve">; </w:t>
      </w:r>
      <w:hyperlink r:id="rId51" w:history="1">
        <w:proofErr w:type="spellStart"/>
        <w:r w:rsidR="00202CF8" w:rsidRPr="001C1554">
          <w:rPr>
            <w:rFonts w:cs="Arial"/>
          </w:rPr>
          <w:t>FunCLA</w:t>
        </w:r>
        <w:proofErr w:type="spellEnd"/>
        <w:r w:rsidR="00202CF8" w:rsidRPr="001C1554">
          <w:rPr>
            <w:rFonts w:cs="Arial"/>
          </w:rPr>
          <w:t xml:space="preserve"> Study Group</w:t>
        </w:r>
      </w:hyperlink>
      <w:r w:rsidRPr="001C1554">
        <w:rPr>
          <w:rFonts w:cs="Arial"/>
        </w:rPr>
        <w:t xml:space="preserve"> (2006) Cis-9, trans- 11 and trans-10, cis-12 conjugated linoleic acid (CLA) do not affect the plasma lipoprotein profile in moderately overweight subjects with LDL</w:t>
      </w:r>
      <w:r w:rsidRPr="00791F68">
        <w:rPr>
          <w:rFonts w:cs="Arial"/>
        </w:rPr>
        <w:t xml:space="preserve"> phenotype </w:t>
      </w:r>
      <w:r w:rsidR="000C0778">
        <w:rPr>
          <w:rFonts w:cs="Arial"/>
        </w:rPr>
        <w:t xml:space="preserve">B. Atherosclerosis </w:t>
      </w:r>
      <w:r w:rsidR="007E2015">
        <w:rPr>
          <w:rFonts w:cs="Arial"/>
        </w:rPr>
        <w:t>188:</w:t>
      </w:r>
      <w:r w:rsidR="000C0778">
        <w:rPr>
          <w:rFonts w:cs="Arial"/>
        </w:rPr>
        <w:t>167–174</w:t>
      </w:r>
    </w:p>
    <w:p w14:paraId="0D9E0D4B" w14:textId="77777777" w:rsidR="007D31D9" w:rsidRPr="00791F68" w:rsidRDefault="007D31D9" w:rsidP="007D31D9">
      <w:pPr>
        <w:autoSpaceDE w:val="0"/>
        <w:autoSpaceDN w:val="0"/>
        <w:adjustRightInd w:val="0"/>
        <w:rPr>
          <w:rFonts w:cs="Arial"/>
        </w:rPr>
      </w:pPr>
    </w:p>
    <w:p w14:paraId="0370B723" w14:textId="3378500F" w:rsidR="007D31D9" w:rsidRPr="00791F68" w:rsidRDefault="007D31D9" w:rsidP="007D31D9">
      <w:pPr>
        <w:autoSpaceDE w:val="0"/>
        <w:autoSpaceDN w:val="0"/>
        <w:adjustRightInd w:val="0"/>
        <w:rPr>
          <w:rFonts w:cs="Arial"/>
        </w:rPr>
      </w:pPr>
      <w:proofErr w:type="spellStart"/>
      <w:r w:rsidRPr="00791F68">
        <w:rPr>
          <w:rFonts w:cs="Arial"/>
        </w:rPr>
        <w:t>Nestel</w:t>
      </w:r>
      <w:proofErr w:type="spellEnd"/>
      <w:r w:rsidRPr="00791F68">
        <w:rPr>
          <w:rFonts w:cs="Arial"/>
        </w:rPr>
        <w:t xml:space="preserve"> P, </w:t>
      </w:r>
      <w:proofErr w:type="spellStart"/>
      <w:r w:rsidRPr="00791F68">
        <w:rPr>
          <w:rFonts w:cs="Arial"/>
        </w:rPr>
        <w:t>Noakes</w:t>
      </w:r>
      <w:proofErr w:type="spellEnd"/>
      <w:r w:rsidRPr="00791F68">
        <w:rPr>
          <w:rFonts w:cs="Arial"/>
        </w:rPr>
        <w:t xml:space="preserve"> M, Belling B, McArthur R, Clifton P, et al. (1992) Plasma lipoprotein lipid and </w:t>
      </w:r>
      <w:proofErr w:type="spellStart"/>
      <w:r w:rsidRPr="00791F68">
        <w:rPr>
          <w:rFonts w:cs="Arial"/>
        </w:rPr>
        <w:t>Lp</w:t>
      </w:r>
      <w:proofErr w:type="spellEnd"/>
      <w:r w:rsidRPr="00791F68">
        <w:rPr>
          <w:rFonts w:cs="Arial"/>
        </w:rPr>
        <w:t xml:space="preserve">[a] changes with substitution of </w:t>
      </w:r>
      <w:proofErr w:type="spellStart"/>
      <w:r w:rsidRPr="00791F68">
        <w:rPr>
          <w:rFonts w:cs="Arial"/>
        </w:rPr>
        <w:t>elaidic</w:t>
      </w:r>
      <w:proofErr w:type="spellEnd"/>
      <w:r w:rsidRPr="00791F68">
        <w:rPr>
          <w:rFonts w:cs="Arial"/>
        </w:rPr>
        <w:t xml:space="preserve"> acid for oleic acid in the </w:t>
      </w:r>
      <w:r w:rsidR="007E2015">
        <w:rPr>
          <w:rFonts w:cs="Arial"/>
        </w:rPr>
        <w:t>diet. J Lipid Res 33:</w:t>
      </w:r>
      <w:r w:rsidR="000C0778">
        <w:rPr>
          <w:rFonts w:cs="Arial"/>
        </w:rPr>
        <w:t>1029–1036</w:t>
      </w:r>
    </w:p>
    <w:p w14:paraId="29D76189" w14:textId="77777777" w:rsidR="00096660" w:rsidRPr="00791F68" w:rsidRDefault="00096660" w:rsidP="007D31D9">
      <w:pPr>
        <w:autoSpaceDE w:val="0"/>
        <w:autoSpaceDN w:val="0"/>
        <w:adjustRightInd w:val="0"/>
        <w:rPr>
          <w:rFonts w:cs="Arial"/>
        </w:rPr>
      </w:pPr>
    </w:p>
    <w:p w14:paraId="440AF7A5" w14:textId="2DDFF659" w:rsidR="0054294B" w:rsidRPr="00791F68" w:rsidRDefault="00BB64C6" w:rsidP="0054294B">
      <w:pPr>
        <w:autoSpaceDE w:val="0"/>
        <w:autoSpaceDN w:val="0"/>
        <w:adjustRightInd w:val="0"/>
        <w:rPr>
          <w:rFonts w:cs="Arial"/>
        </w:rPr>
      </w:pPr>
      <w:proofErr w:type="spellStart"/>
      <w:r w:rsidRPr="00791F68">
        <w:rPr>
          <w:rFonts w:cs="Arial"/>
        </w:rPr>
        <w:t>Pintus</w:t>
      </w:r>
      <w:proofErr w:type="spellEnd"/>
      <w:r w:rsidR="0054294B" w:rsidRPr="00791F68">
        <w:rPr>
          <w:rFonts w:cs="Arial"/>
        </w:rPr>
        <w:t xml:space="preserve"> S</w:t>
      </w:r>
      <w:r w:rsidRPr="00791F68">
        <w:rPr>
          <w:rFonts w:cs="Arial"/>
        </w:rPr>
        <w:t xml:space="preserve">, </w:t>
      </w:r>
      <w:proofErr w:type="spellStart"/>
      <w:r w:rsidRPr="00791F68">
        <w:rPr>
          <w:rFonts w:cs="Arial"/>
        </w:rPr>
        <w:t>Murru</w:t>
      </w:r>
      <w:proofErr w:type="spellEnd"/>
      <w:r w:rsidR="0054294B" w:rsidRPr="00791F68">
        <w:rPr>
          <w:rFonts w:cs="Arial"/>
        </w:rPr>
        <w:t xml:space="preserve"> </w:t>
      </w:r>
      <w:r w:rsidRPr="00791F68">
        <w:rPr>
          <w:rFonts w:cs="Arial"/>
        </w:rPr>
        <w:t xml:space="preserve">E, Carta G, </w:t>
      </w:r>
      <w:proofErr w:type="spellStart"/>
      <w:r w:rsidRPr="00791F68">
        <w:rPr>
          <w:rFonts w:cs="Arial"/>
        </w:rPr>
        <w:t>Cordeddu</w:t>
      </w:r>
      <w:proofErr w:type="spellEnd"/>
      <w:r w:rsidRPr="00791F68">
        <w:rPr>
          <w:rFonts w:cs="Arial"/>
        </w:rPr>
        <w:t xml:space="preserve"> L</w:t>
      </w:r>
      <w:r w:rsidR="0054294B" w:rsidRPr="00791F68">
        <w:rPr>
          <w:rFonts w:cs="Arial"/>
        </w:rPr>
        <w:t xml:space="preserve">, </w:t>
      </w:r>
      <w:proofErr w:type="spellStart"/>
      <w:r w:rsidRPr="00791F68">
        <w:rPr>
          <w:rFonts w:cs="Arial"/>
        </w:rPr>
        <w:t>Batetta</w:t>
      </w:r>
      <w:proofErr w:type="spellEnd"/>
      <w:r w:rsidRPr="00791F68">
        <w:rPr>
          <w:rFonts w:cs="Arial"/>
        </w:rPr>
        <w:t xml:space="preserve"> B, </w:t>
      </w:r>
      <w:proofErr w:type="spellStart"/>
      <w:r w:rsidRPr="00791F68">
        <w:rPr>
          <w:rFonts w:cs="Arial"/>
        </w:rPr>
        <w:t>Accossu</w:t>
      </w:r>
      <w:proofErr w:type="spellEnd"/>
      <w:r w:rsidRPr="00791F68">
        <w:rPr>
          <w:rFonts w:cs="Arial"/>
        </w:rPr>
        <w:t xml:space="preserve"> S</w:t>
      </w:r>
      <w:r w:rsidR="0087662F" w:rsidRPr="00791F68">
        <w:rPr>
          <w:rFonts w:cs="Arial"/>
        </w:rPr>
        <w:t>,</w:t>
      </w:r>
      <w:r w:rsidR="00FE2F79" w:rsidRPr="00791F68">
        <w:rPr>
          <w:rFonts w:cs="Arial"/>
        </w:rPr>
        <w:t xml:space="preserve"> </w:t>
      </w:r>
      <w:hyperlink r:id="rId52" w:history="1">
        <w:proofErr w:type="spellStart"/>
        <w:r w:rsidR="00FE2F79" w:rsidRPr="00791F68">
          <w:rPr>
            <w:rFonts w:cs="Arial"/>
          </w:rPr>
          <w:t>Pistis</w:t>
        </w:r>
        <w:proofErr w:type="spellEnd"/>
        <w:r w:rsidR="00FE2F79" w:rsidRPr="00791F68">
          <w:rPr>
            <w:rFonts w:cs="Arial"/>
          </w:rPr>
          <w:t xml:space="preserve"> D</w:t>
        </w:r>
      </w:hyperlink>
      <w:r w:rsidR="00FE2F79" w:rsidRPr="00791F68">
        <w:rPr>
          <w:rFonts w:cs="Arial"/>
        </w:rPr>
        <w:t xml:space="preserve">, </w:t>
      </w:r>
      <w:hyperlink r:id="rId53" w:history="1">
        <w:proofErr w:type="spellStart"/>
        <w:r w:rsidR="00FE2F79" w:rsidRPr="00791F68">
          <w:rPr>
            <w:rFonts w:cs="Arial"/>
          </w:rPr>
          <w:t>Uda</w:t>
        </w:r>
        <w:proofErr w:type="spellEnd"/>
        <w:r w:rsidR="00FE2F79" w:rsidRPr="00791F68">
          <w:rPr>
            <w:rFonts w:cs="Arial"/>
          </w:rPr>
          <w:t xml:space="preserve"> S</w:t>
        </w:r>
      </w:hyperlink>
      <w:r w:rsidR="00FE2F79" w:rsidRPr="00791F68">
        <w:rPr>
          <w:rFonts w:cs="Arial"/>
        </w:rPr>
        <w:t xml:space="preserve">, </w:t>
      </w:r>
      <w:hyperlink r:id="rId54" w:history="1">
        <w:r w:rsidR="00FE2F79" w:rsidRPr="00791F68">
          <w:rPr>
            <w:rFonts w:cs="Arial"/>
          </w:rPr>
          <w:t xml:space="preserve">Elena </w:t>
        </w:r>
        <w:proofErr w:type="spellStart"/>
        <w:r w:rsidR="00FE2F79" w:rsidRPr="00791F68">
          <w:rPr>
            <w:rFonts w:cs="Arial"/>
          </w:rPr>
          <w:t>Ghiani</w:t>
        </w:r>
        <w:proofErr w:type="spellEnd"/>
        <w:r w:rsidR="00FE2F79" w:rsidRPr="00791F68">
          <w:rPr>
            <w:rFonts w:cs="Arial"/>
          </w:rPr>
          <w:t xml:space="preserve"> M</w:t>
        </w:r>
      </w:hyperlink>
      <w:r w:rsidR="00FE2F79" w:rsidRPr="00791F68">
        <w:rPr>
          <w:rFonts w:cs="Arial"/>
        </w:rPr>
        <w:t xml:space="preserve">, </w:t>
      </w:r>
      <w:hyperlink r:id="rId55" w:history="1">
        <w:proofErr w:type="spellStart"/>
        <w:r w:rsidR="00FE2F79" w:rsidRPr="00791F68">
          <w:rPr>
            <w:rFonts w:cs="Arial"/>
          </w:rPr>
          <w:t>Mele</w:t>
        </w:r>
        <w:proofErr w:type="spellEnd"/>
        <w:r w:rsidR="00FE2F79" w:rsidRPr="00791F68">
          <w:rPr>
            <w:rFonts w:cs="Arial"/>
          </w:rPr>
          <w:t xml:space="preserve"> M</w:t>
        </w:r>
      </w:hyperlink>
      <w:r w:rsidR="00FE2F79" w:rsidRPr="00791F68">
        <w:rPr>
          <w:rFonts w:cs="Arial"/>
        </w:rPr>
        <w:t xml:space="preserve">, </w:t>
      </w:r>
      <w:hyperlink r:id="rId56" w:history="1">
        <w:proofErr w:type="spellStart"/>
        <w:r w:rsidR="00FE2F79" w:rsidRPr="00791F68">
          <w:rPr>
            <w:rFonts w:cs="Arial"/>
          </w:rPr>
          <w:t>Secchiari</w:t>
        </w:r>
        <w:proofErr w:type="spellEnd"/>
        <w:r w:rsidR="00FE2F79" w:rsidRPr="00791F68">
          <w:rPr>
            <w:rFonts w:cs="Arial"/>
          </w:rPr>
          <w:t xml:space="preserve"> P</w:t>
        </w:r>
      </w:hyperlink>
      <w:r w:rsidR="00FE2F79" w:rsidRPr="00791F68">
        <w:rPr>
          <w:rFonts w:cs="Arial"/>
        </w:rPr>
        <w:t xml:space="preserve">, </w:t>
      </w:r>
      <w:hyperlink r:id="rId57" w:history="1">
        <w:proofErr w:type="spellStart"/>
        <w:r w:rsidR="00FE2F79" w:rsidRPr="00791F68">
          <w:rPr>
            <w:rFonts w:cs="Arial"/>
          </w:rPr>
          <w:t>Almerighi</w:t>
        </w:r>
        <w:proofErr w:type="spellEnd"/>
        <w:r w:rsidR="00FE2F79" w:rsidRPr="00791F68">
          <w:rPr>
            <w:rFonts w:cs="Arial"/>
          </w:rPr>
          <w:t xml:space="preserve"> G</w:t>
        </w:r>
      </w:hyperlink>
      <w:r w:rsidR="00FE2F79" w:rsidRPr="00791F68">
        <w:rPr>
          <w:rFonts w:cs="Arial"/>
        </w:rPr>
        <w:t xml:space="preserve">, </w:t>
      </w:r>
      <w:hyperlink r:id="rId58" w:history="1">
        <w:proofErr w:type="spellStart"/>
        <w:r w:rsidR="00FE2F79" w:rsidRPr="00791F68">
          <w:rPr>
            <w:rFonts w:cs="Arial"/>
          </w:rPr>
          <w:t>Pintus</w:t>
        </w:r>
        <w:proofErr w:type="spellEnd"/>
        <w:r w:rsidR="00FE2F79" w:rsidRPr="00791F68">
          <w:rPr>
            <w:rFonts w:cs="Arial"/>
          </w:rPr>
          <w:t xml:space="preserve"> P</w:t>
        </w:r>
      </w:hyperlink>
      <w:r w:rsidR="00FE2F79" w:rsidRPr="00791F68">
        <w:rPr>
          <w:rFonts w:cs="Arial"/>
        </w:rPr>
        <w:t>,</w:t>
      </w:r>
      <w:r w:rsidR="00D32DB4">
        <w:rPr>
          <w:rFonts w:cs="Arial"/>
        </w:rPr>
        <w:t xml:space="preserve"> </w:t>
      </w:r>
      <w:proofErr w:type="spellStart"/>
      <w:r w:rsidR="00D32DB4">
        <w:rPr>
          <w:rFonts w:cs="Arial"/>
        </w:rPr>
        <w:t>Banni</w:t>
      </w:r>
      <w:proofErr w:type="spellEnd"/>
      <w:r w:rsidR="00D32DB4">
        <w:rPr>
          <w:rFonts w:cs="Arial"/>
        </w:rPr>
        <w:t xml:space="preserve"> S (2013)</w:t>
      </w:r>
      <w:r w:rsidR="0054294B" w:rsidRPr="00791F68">
        <w:rPr>
          <w:rFonts w:cs="Arial"/>
        </w:rPr>
        <w:t xml:space="preserve"> Sheep cheese naturally enriched in alpha-linolenic, conjugated linoleic and </w:t>
      </w:r>
      <w:proofErr w:type="spellStart"/>
      <w:r w:rsidR="0054294B" w:rsidRPr="00791F68">
        <w:rPr>
          <w:rFonts w:cs="Arial"/>
        </w:rPr>
        <w:t>vaccenic</w:t>
      </w:r>
      <w:proofErr w:type="spellEnd"/>
      <w:r w:rsidR="0054294B" w:rsidRPr="00791F68">
        <w:rPr>
          <w:rFonts w:cs="Arial"/>
        </w:rPr>
        <w:t xml:space="preserve"> acids improves the lipid profile and reduces anandamide in the plasma of </w:t>
      </w:r>
      <w:proofErr w:type="spellStart"/>
      <w:r w:rsidR="0054294B" w:rsidRPr="00791F68">
        <w:rPr>
          <w:rFonts w:cs="Arial"/>
        </w:rPr>
        <w:t>hypercholesterolaemic</w:t>
      </w:r>
      <w:proofErr w:type="spellEnd"/>
      <w:r w:rsidR="0054294B" w:rsidRPr="00791F68">
        <w:rPr>
          <w:rFonts w:cs="Arial"/>
        </w:rPr>
        <w:t xml:space="preserve"> subjects. </w:t>
      </w:r>
      <w:r w:rsidRPr="00791F68">
        <w:rPr>
          <w:rFonts w:cs="Arial"/>
          <w:iCs/>
        </w:rPr>
        <w:t xml:space="preserve">Br J </w:t>
      </w:r>
      <w:proofErr w:type="spellStart"/>
      <w:r w:rsidRPr="00791F68">
        <w:rPr>
          <w:rFonts w:cs="Arial"/>
          <w:iCs/>
        </w:rPr>
        <w:t>Nutr</w:t>
      </w:r>
      <w:proofErr w:type="spellEnd"/>
      <w:r w:rsidR="0054294B" w:rsidRPr="00791F68">
        <w:rPr>
          <w:rFonts w:cs="Arial"/>
          <w:iCs/>
        </w:rPr>
        <w:t xml:space="preserve"> 109</w:t>
      </w:r>
      <w:r w:rsidRPr="00791F68">
        <w:rPr>
          <w:rFonts w:cs="Arial"/>
        </w:rPr>
        <w:t>(8):</w:t>
      </w:r>
      <w:r w:rsidR="000C0778">
        <w:rPr>
          <w:rFonts w:cs="Arial"/>
        </w:rPr>
        <w:t>1453-1462</w:t>
      </w:r>
    </w:p>
    <w:p w14:paraId="378EC401" w14:textId="77777777" w:rsidR="00096660" w:rsidRPr="00791F68" w:rsidRDefault="00096660" w:rsidP="007D31D9">
      <w:pPr>
        <w:autoSpaceDE w:val="0"/>
        <w:autoSpaceDN w:val="0"/>
        <w:adjustRightInd w:val="0"/>
        <w:rPr>
          <w:rFonts w:cs="Arial"/>
        </w:rPr>
      </w:pPr>
    </w:p>
    <w:p w14:paraId="162E78BB" w14:textId="171BA350" w:rsidR="007D31D9" w:rsidRPr="00791F68" w:rsidRDefault="00BB64C6" w:rsidP="001C43A8">
      <w:pPr>
        <w:autoSpaceDE w:val="0"/>
        <w:autoSpaceDN w:val="0"/>
        <w:adjustRightInd w:val="0"/>
        <w:rPr>
          <w:rFonts w:cs="Arial"/>
        </w:rPr>
      </w:pPr>
      <w:proofErr w:type="spellStart"/>
      <w:r w:rsidRPr="00791F68">
        <w:rPr>
          <w:rFonts w:cs="Arial"/>
        </w:rPr>
        <w:t>Sundram</w:t>
      </w:r>
      <w:proofErr w:type="spellEnd"/>
      <w:r w:rsidRPr="00791F68">
        <w:rPr>
          <w:rFonts w:cs="Arial"/>
        </w:rPr>
        <w:t xml:space="preserve"> K, Ismail A, Hayes K C</w:t>
      </w:r>
      <w:r w:rsidR="00741B94" w:rsidRPr="00791F68">
        <w:rPr>
          <w:rFonts w:cs="Arial"/>
        </w:rPr>
        <w:t xml:space="preserve">, </w:t>
      </w:r>
      <w:proofErr w:type="spellStart"/>
      <w:r w:rsidR="00741B94" w:rsidRPr="00791F68">
        <w:rPr>
          <w:rFonts w:cs="Arial"/>
        </w:rPr>
        <w:t>Jeyamala</w:t>
      </w:r>
      <w:r w:rsidRPr="00791F68">
        <w:rPr>
          <w:rFonts w:cs="Arial"/>
        </w:rPr>
        <w:t>r</w:t>
      </w:r>
      <w:proofErr w:type="spellEnd"/>
      <w:r w:rsidRPr="00791F68">
        <w:rPr>
          <w:rFonts w:cs="Arial"/>
        </w:rPr>
        <w:t xml:space="preserve"> R </w:t>
      </w:r>
      <w:r w:rsidR="001C43A8" w:rsidRPr="00791F68">
        <w:rPr>
          <w:rFonts w:cs="Arial"/>
        </w:rPr>
        <w:t xml:space="preserve"> </w:t>
      </w:r>
      <w:proofErr w:type="spellStart"/>
      <w:r w:rsidRPr="00791F68">
        <w:rPr>
          <w:rFonts w:cs="Arial"/>
        </w:rPr>
        <w:t>Pathmanathan</w:t>
      </w:r>
      <w:proofErr w:type="spellEnd"/>
      <w:r w:rsidR="00D32DB4">
        <w:rPr>
          <w:rFonts w:cs="Arial"/>
        </w:rPr>
        <w:t xml:space="preserve"> R</w:t>
      </w:r>
      <w:r w:rsidR="001C43A8" w:rsidRPr="00791F68">
        <w:rPr>
          <w:rFonts w:cs="Arial"/>
        </w:rPr>
        <w:t xml:space="preserve"> (1997) </w:t>
      </w:r>
      <w:r w:rsidR="00741B94" w:rsidRPr="00791F68">
        <w:rPr>
          <w:rFonts w:cs="Arial"/>
        </w:rPr>
        <w:t>Trans (</w:t>
      </w:r>
      <w:proofErr w:type="spellStart"/>
      <w:r w:rsidR="00741B94" w:rsidRPr="00791F68">
        <w:rPr>
          <w:rFonts w:cs="Arial"/>
        </w:rPr>
        <w:t>Elaidic</w:t>
      </w:r>
      <w:proofErr w:type="spellEnd"/>
      <w:r w:rsidR="00741B94" w:rsidRPr="00791F68">
        <w:rPr>
          <w:rFonts w:cs="Arial"/>
        </w:rPr>
        <w:t xml:space="preserve">) fatty acids adversely </w:t>
      </w:r>
      <w:proofErr w:type="spellStart"/>
      <w:r w:rsidR="00741B94" w:rsidRPr="00791F68">
        <w:rPr>
          <w:rFonts w:cs="Arial"/>
        </w:rPr>
        <w:t>effect</w:t>
      </w:r>
      <w:proofErr w:type="spellEnd"/>
      <w:r w:rsidR="00741B94" w:rsidRPr="00791F68">
        <w:rPr>
          <w:rFonts w:cs="Arial"/>
        </w:rPr>
        <w:t xml:space="preserve"> the lipoprotein profile relative to specific</w:t>
      </w:r>
      <w:r w:rsidR="001C43A8" w:rsidRPr="00791F68">
        <w:rPr>
          <w:rFonts w:cs="Arial"/>
        </w:rPr>
        <w:t xml:space="preserve"> </w:t>
      </w:r>
      <w:r w:rsidR="00741B94" w:rsidRPr="00791F68">
        <w:rPr>
          <w:rFonts w:cs="Arial"/>
        </w:rPr>
        <w:t xml:space="preserve">saturated fatty acids in humans. </w:t>
      </w:r>
      <w:r w:rsidR="001C72E4">
        <w:rPr>
          <w:rFonts w:cs="Arial"/>
          <w:iCs/>
        </w:rPr>
        <w:t>J</w:t>
      </w:r>
      <w:r w:rsidR="007E2015">
        <w:rPr>
          <w:rFonts w:cs="Arial"/>
          <w:iCs/>
        </w:rPr>
        <w:t xml:space="preserve"> </w:t>
      </w:r>
      <w:proofErr w:type="spellStart"/>
      <w:r w:rsidR="007E2015">
        <w:rPr>
          <w:rFonts w:cs="Arial"/>
          <w:iCs/>
        </w:rPr>
        <w:t>Nutr</w:t>
      </w:r>
      <w:proofErr w:type="spellEnd"/>
      <w:r w:rsidR="007E2015">
        <w:rPr>
          <w:rFonts w:cs="Arial"/>
          <w:iCs/>
        </w:rPr>
        <w:t xml:space="preserve"> </w:t>
      </w:r>
      <w:r w:rsidR="00741B94" w:rsidRPr="00791F68">
        <w:rPr>
          <w:rFonts w:cs="Arial"/>
          <w:bCs/>
        </w:rPr>
        <w:t>127</w:t>
      </w:r>
      <w:r w:rsidR="007E2015">
        <w:rPr>
          <w:rFonts w:cs="Arial"/>
        </w:rPr>
        <w:t>:</w:t>
      </w:r>
      <w:r w:rsidR="000C0778">
        <w:rPr>
          <w:rFonts w:cs="Arial"/>
        </w:rPr>
        <w:t>514S-520S</w:t>
      </w:r>
    </w:p>
    <w:p w14:paraId="0594702E" w14:textId="77777777" w:rsidR="001C43A8" w:rsidRPr="00791F68" w:rsidRDefault="001C43A8" w:rsidP="001C43A8">
      <w:pPr>
        <w:autoSpaceDE w:val="0"/>
        <w:autoSpaceDN w:val="0"/>
        <w:adjustRightInd w:val="0"/>
        <w:rPr>
          <w:rFonts w:cs="Arial"/>
        </w:rPr>
      </w:pPr>
    </w:p>
    <w:p w14:paraId="49D02882" w14:textId="46990F8E" w:rsidR="007D31D9" w:rsidRPr="00791F68" w:rsidRDefault="007D31D9" w:rsidP="00096660">
      <w:pPr>
        <w:autoSpaceDE w:val="0"/>
        <w:autoSpaceDN w:val="0"/>
        <w:adjustRightInd w:val="0"/>
        <w:rPr>
          <w:rFonts w:cs="Arial"/>
        </w:rPr>
      </w:pPr>
      <w:proofErr w:type="spellStart"/>
      <w:r w:rsidRPr="00791F68">
        <w:rPr>
          <w:rFonts w:cs="Arial"/>
        </w:rPr>
        <w:t>Sundram</w:t>
      </w:r>
      <w:proofErr w:type="spellEnd"/>
      <w:r w:rsidRPr="00791F68">
        <w:rPr>
          <w:rFonts w:cs="Arial"/>
        </w:rPr>
        <w:t xml:space="preserve"> K, </w:t>
      </w:r>
      <w:proofErr w:type="spellStart"/>
      <w:r w:rsidRPr="00791F68">
        <w:rPr>
          <w:rFonts w:cs="Arial"/>
        </w:rPr>
        <w:t>Karupaiah</w:t>
      </w:r>
      <w:proofErr w:type="spellEnd"/>
      <w:r w:rsidRPr="00791F68">
        <w:rPr>
          <w:rFonts w:cs="Arial"/>
        </w:rPr>
        <w:t xml:space="preserve"> T, Hayes KC (2007) Stearic acid-rich </w:t>
      </w:r>
      <w:proofErr w:type="spellStart"/>
      <w:r w:rsidRPr="00791F68">
        <w:rPr>
          <w:rFonts w:cs="Arial"/>
        </w:rPr>
        <w:t>interesterified</w:t>
      </w:r>
      <w:proofErr w:type="spellEnd"/>
      <w:r w:rsidRPr="00791F68">
        <w:rPr>
          <w:rFonts w:cs="Arial"/>
        </w:rPr>
        <w:t xml:space="preserve"> </w:t>
      </w:r>
      <w:proofErr w:type="spellStart"/>
      <w:r w:rsidRPr="00791F68">
        <w:rPr>
          <w:rFonts w:cs="Arial"/>
        </w:rPr>
        <w:t>fatand</w:t>
      </w:r>
      <w:proofErr w:type="spellEnd"/>
      <w:r w:rsidRPr="00791F68">
        <w:rPr>
          <w:rFonts w:cs="Arial"/>
        </w:rPr>
        <w:t xml:space="preserve"> trans-rich fat raise the LDL/HDL ratio and plasma glucose relative to palm </w:t>
      </w:r>
      <w:proofErr w:type="spellStart"/>
      <w:r w:rsidRPr="00791F68">
        <w:rPr>
          <w:rFonts w:cs="Arial"/>
        </w:rPr>
        <w:t>olein</w:t>
      </w:r>
      <w:proofErr w:type="spellEnd"/>
      <w:r w:rsidRPr="00791F68">
        <w:rPr>
          <w:rFonts w:cs="Arial"/>
        </w:rPr>
        <w:t xml:space="preserve"> in humans</w:t>
      </w:r>
      <w:r w:rsidR="00FE2F79" w:rsidRPr="00202CF8">
        <w:rPr>
          <w:rFonts w:cs="Arial"/>
        </w:rPr>
        <w:t xml:space="preserve">. </w:t>
      </w:r>
      <w:proofErr w:type="spellStart"/>
      <w:r w:rsidR="00202CF8" w:rsidRPr="00202CF8">
        <w:rPr>
          <w:rFonts w:cs="Arial"/>
        </w:rPr>
        <w:t>Nutr</w:t>
      </w:r>
      <w:proofErr w:type="spellEnd"/>
      <w:r w:rsidR="00202CF8" w:rsidRPr="00202CF8">
        <w:rPr>
          <w:rFonts w:cs="Arial"/>
        </w:rPr>
        <w:t xml:space="preserve"> </w:t>
      </w:r>
      <w:proofErr w:type="spellStart"/>
      <w:r w:rsidR="00202CF8" w:rsidRPr="00202CF8">
        <w:rPr>
          <w:rFonts w:cs="Arial"/>
        </w:rPr>
        <w:t>Metab</w:t>
      </w:r>
      <w:proofErr w:type="spellEnd"/>
      <w:r w:rsidR="00202CF8" w:rsidRPr="00202CF8">
        <w:rPr>
          <w:rFonts w:cs="Arial"/>
        </w:rPr>
        <w:t xml:space="preserve"> (</w:t>
      </w:r>
      <w:proofErr w:type="spellStart"/>
      <w:r w:rsidR="00202CF8" w:rsidRPr="00202CF8">
        <w:rPr>
          <w:rFonts w:cs="Arial"/>
        </w:rPr>
        <w:t>Lond</w:t>
      </w:r>
      <w:proofErr w:type="spellEnd"/>
      <w:r w:rsidR="00202CF8" w:rsidRPr="00202CF8">
        <w:rPr>
          <w:rFonts w:cs="Arial"/>
        </w:rPr>
        <w:t xml:space="preserve">) </w:t>
      </w:r>
      <w:r w:rsidR="00FE2F79" w:rsidRPr="00202CF8">
        <w:rPr>
          <w:rFonts w:cs="Arial"/>
        </w:rPr>
        <w:t xml:space="preserve">4:3 </w:t>
      </w:r>
      <w:r w:rsidR="00FE2F79" w:rsidRPr="00202CF8">
        <w:rPr>
          <w:rStyle w:val="pseudotab3"/>
          <w:rFonts w:cs="Arial"/>
        </w:rPr>
        <w:t>doi</w:t>
      </w:r>
      <w:proofErr w:type="gramStart"/>
      <w:r w:rsidR="00FE2F79" w:rsidRPr="00202CF8">
        <w:rPr>
          <w:rStyle w:val="pseudotab3"/>
          <w:rFonts w:cs="Arial"/>
        </w:rPr>
        <w:t>:10.1186</w:t>
      </w:r>
      <w:proofErr w:type="gramEnd"/>
      <w:r w:rsidR="00FE2F79" w:rsidRPr="00202CF8">
        <w:rPr>
          <w:rStyle w:val="pseudotab3"/>
          <w:rFonts w:cs="Arial"/>
        </w:rPr>
        <w:t xml:space="preserve">/1743-7075-4-3 </w:t>
      </w:r>
    </w:p>
    <w:p w14:paraId="4F601119" w14:textId="77777777" w:rsidR="0054294B" w:rsidRPr="00791F68" w:rsidRDefault="0054294B" w:rsidP="00096660">
      <w:pPr>
        <w:autoSpaceDE w:val="0"/>
        <w:autoSpaceDN w:val="0"/>
        <w:adjustRightInd w:val="0"/>
        <w:rPr>
          <w:rFonts w:cs="Arial"/>
        </w:rPr>
      </w:pPr>
    </w:p>
    <w:p w14:paraId="4C05A308" w14:textId="7CD8CED8" w:rsidR="0054294B" w:rsidRPr="00791F68" w:rsidRDefault="00D32DB4" w:rsidP="0054294B">
      <w:pPr>
        <w:autoSpaceDE w:val="0"/>
        <w:autoSpaceDN w:val="0"/>
        <w:adjustRightInd w:val="0"/>
        <w:rPr>
          <w:rFonts w:cs="Arial"/>
        </w:rPr>
      </w:pPr>
      <w:r>
        <w:rPr>
          <w:rFonts w:cs="Arial"/>
        </w:rPr>
        <w:t xml:space="preserve">Takeuchi H, </w:t>
      </w:r>
      <w:proofErr w:type="spellStart"/>
      <w:r>
        <w:rPr>
          <w:rFonts w:cs="Arial"/>
        </w:rPr>
        <w:t>Kutsuwada</w:t>
      </w:r>
      <w:proofErr w:type="spellEnd"/>
      <w:r>
        <w:rPr>
          <w:rFonts w:cs="Arial"/>
        </w:rPr>
        <w:t xml:space="preserve"> T</w:t>
      </w:r>
      <w:r w:rsidR="0054294B" w:rsidRPr="00791F68">
        <w:rPr>
          <w:rFonts w:cs="Arial"/>
        </w:rPr>
        <w:t xml:space="preserve">, </w:t>
      </w:r>
      <w:proofErr w:type="spellStart"/>
      <w:r w:rsidR="0054294B" w:rsidRPr="00791F68">
        <w:rPr>
          <w:rFonts w:cs="Arial"/>
        </w:rPr>
        <w:t>Shi</w:t>
      </w:r>
      <w:r>
        <w:rPr>
          <w:rFonts w:cs="Arial"/>
        </w:rPr>
        <w:t>rokawa</w:t>
      </w:r>
      <w:proofErr w:type="spellEnd"/>
      <w:r>
        <w:rPr>
          <w:rFonts w:cs="Arial"/>
        </w:rPr>
        <w:t xml:space="preserve"> Y, Harada S,</w:t>
      </w:r>
      <w:r w:rsidR="0054294B" w:rsidRPr="00791F68">
        <w:rPr>
          <w:rFonts w:cs="Arial"/>
        </w:rPr>
        <w:t xml:space="preserve"> Sugano</w:t>
      </w:r>
      <w:r>
        <w:rPr>
          <w:rFonts w:cs="Arial"/>
        </w:rPr>
        <w:t xml:space="preserve"> M</w:t>
      </w:r>
      <w:r w:rsidR="0054294B" w:rsidRPr="00791F68">
        <w:rPr>
          <w:rFonts w:cs="Arial"/>
        </w:rPr>
        <w:t xml:space="preserve"> (2013</w:t>
      </w:r>
      <w:r>
        <w:rPr>
          <w:rFonts w:cs="Arial"/>
        </w:rPr>
        <w:t>)</w:t>
      </w:r>
      <w:r w:rsidR="0054294B" w:rsidRPr="00791F68">
        <w:rPr>
          <w:rFonts w:cs="Arial"/>
        </w:rPr>
        <w:t xml:space="preserve"> Supplementation with 1% energy trans fatty acids had little effect on serum cholesterol levels in healthy young Japanese women. </w:t>
      </w:r>
      <w:proofErr w:type="spellStart"/>
      <w:r w:rsidR="00BB64C6" w:rsidRPr="00791F68">
        <w:rPr>
          <w:rFonts w:cs="Arial"/>
          <w:iCs/>
        </w:rPr>
        <w:t>Biosci</w:t>
      </w:r>
      <w:proofErr w:type="spellEnd"/>
      <w:r w:rsidR="00BB64C6" w:rsidRPr="00791F68">
        <w:rPr>
          <w:rFonts w:cs="Arial"/>
          <w:iCs/>
        </w:rPr>
        <w:t xml:space="preserve"> </w:t>
      </w:r>
      <w:proofErr w:type="spellStart"/>
      <w:r w:rsidR="00BB64C6" w:rsidRPr="00791F68">
        <w:rPr>
          <w:rFonts w:cs="Arial"/>
          <w:iCs/>
        </w:rPr>
        <w:t>Biotechnol</w:t>
      </w:r>
      <w:proofErr w:type="spellEnd"/>
      <w:r w:rsidR="00BB64C6" w:rsidRPr="00791F68">
        <w:rPr>
          <w:rFonts w:cs="Arial"/>
          <w:iCs/>
        </w:rPr>
        <w:t xml:space="preserve"> </w:t>
      </w:r>
      <w:proofErr w:type="spellStart"/>
      <w:r w:rsidR="00BB64C6" w:rsidRPr="00791F68">
        <w:rPr>
          <w:rFonts w:cs="Arial"/>
          <w:iCs/>
        </w:rPr>
        <w:t>Biochem</w:t>
      </w:r>
      <w:proofErr w:type="spellEnd"/>
      <w:r w:rsidR="0054294B" w:rsidRPr="00791F68">
        <w:rPr>
          <w:rFonts w:cs="Arial"/>
          <w:iCs/>
        </w:rPr>
        <w:t xml:space="preserve"> 77</w:t>
      </w:r>
      <w:r w:rsidR="00BB64C6" w:rsidRPr="00791F68">
        <w:rPr>
          <w:rFonts w:cs="Arial"/>
        </w:rPr>
        <w:t>(6):</w:t>
      </w:r>
      <w:r w:rsidR="000C0778">
        <w:rPr>
          <w:rFonts w:cs="Arial"/>
        </w:rPr>
        <w:t>1219-1222</w:t>
      </w:r>
      <w:r w:rsidR="0054294B" w:rsidRPr="00791F68">
        <w:rPr>
          <w:rFonts w:cs="Arial"/>
        </w:rPr>
        <w:t xml:space="preserve"> </w:t>
      </w:r>
    </w:p>
    <w:p w14:paraId="0204C669" w14:textId="77777777" w:rsidR="0054294B" w:rsidRPr="00791F68" w:rsidRDefault="0054294B" w:rsidP="0054294B">
      <w:pPr>
        <w:autoSpaceDE w:val="0"/>
        <w:autoSpaceDN w:val="0"/>
        <w:adjustRightInd w:val="0"/>
        <w:rPr>
          <w:rFonts w:cs="Arial"/>
        </w:rPr>
      </w:pPr>
    </w:p>
    <w:p w14:paraId="0F4C43C0" w14:textId="49BBA2D8" w:rsidR="0054294B" w:rsidRPr="00791F68" w:rsidRDefault="00BB64C6" w:rsidP="0054294B">
      <w:pPr>
        <w:autoSpaceDE w:val="0"/>
        <w:autoSpaceDN w:val="0"/>
        <w:adjustRightInd w:val="0"/>
        <w:rPr>
          <w:rFonts w:cs="Arial"/>
        </w:rPr>
      </w:pPr>
      <w:r w:rsidRPr="00791F68">
        <w:rPr>
          <w:rFonts w:cs="Arial"/>
        </w:rPr>
        <w:lastRenderedPageBreak/>
        <w:t xml:space="preserve">Takeuchi H, </w:t>
      </w:r>
      <w:proofErr w:type="spellStart"/>
      <w:r w:rsidRPr="00791F68">
        <w:rPr>
          <w:rFonts w:cs="Arial"/>
        </w:rPr>
        <w:t>Yamaki</w:t>
      </w:r>
      <w:proofErr w:type="spellEnd"/>
      <w:r w:rsidRPr="00791F68">
        <w:rPr>
          <w:rFonts w:cs="Arial"/>
        </w:rPr>
        <w:t xml:space="preserve"> M, Hirose K, </w:t>
      </w:r>
      <w:proofErr w:type="spellStart"/>
      <w:r w:rsidRPr="00791F68">
        <w:rPr>
          <w:rFonts w:cs="Arial"/>
        </w:rPr>
        <w:t>Hienae</w:t>
      </w:r>
      <w:proofErr w:type="spellEnd"/>
      <w:r w:rsidRPr="00791F68">
        <w:rPr>
          <w:rFonts w:cs="Arial"/>
        </w:rPr>
        <w:t xml:space="preserve"> C, </w:t>
      </w:r>
      <w:proofErr w:type="spellStart"/>
      <w:r w:rsidRPr="00791F68">
        <w:rPr>
          <w:rFonts w:cs="Arial"/>
        </w:rPr>
        <w:t>Tabuchi</w:t>
      </w:r>
      <w:proofErr w:type="spellEnd"/>
      <w:r w:rsidRPr="00791F68">
        <w:rPr>
          <w:rFonts w:cs="Arial"/>
        </w:rPr>
        <w:t xml:space="preserve"> E, Sugano</w:t>
      </w:r>
      <w:r w:rsidR="00D32DB4">
        <w:rPr>
          <w:rFonts w:cs="Arial"/>
        </w:rPr>
        <w:t xml:space="preserve"> M (2011)</w:t>
      </w:r>
      <w:r w:rsidR="0054294B" w:rsidRPr="00791F68">
        <w:rPr>
          <w:rFonts w:cs="Arial"/>
        </w:rPr>
        <w:t xml:space="preserve"> Effect of a 0.6% energy trans fatty acid intake on serum cholesterol concentrations in healthy young Japanese subjects. </w:t>
      </w:r>
      <w:proofErr w:type="spellStart"/>
      <w:r w:rsidR="001C72E4">
        <w:rPr>
          <w:rFonts w:cs="Arial"/>
          <w:iCs/>
        </w:rPr>
        <w:t>Biosci</w:t>
      </w:r>
      <w:proofErr w:type="spellEnd"/>
      <w:r w:rsidR="001C72E4">
        <w:rPr>
          <w:rFonts w:cs="Arial"/>
          <w:iCs/>
        </w:rPr>
        <w:t xml:space="preserve"> </w:t>
      </w:r>
      <w:proofErr w:type="spellStart"/>
      <w:r w:rsidR="001C72E4">
        <w:rPr>
          <w:rFonts w:cs="Arial"/>
          <w:iCs/>
        </w:rPr>
        <w:t>Biotechnol</w:t>
      </w:r>
      <w:proofErr w:type="spellEnd"/>
      <w:r w:rsidR="001C72E4">
        <w:rPr>
          <w:rFonts w:cs="Arial"/>
          <w:iCs/>
        </w:rPr>
        <w:t xml:space="preserve"> </w:t>
      </w:r>
      <w:proofErr w:type="spellStart"/>
      <w:r w:rsidR="001C72E4">
        <w:rPr>
          <w:rFonts w:cs="Arial"/>
          <w:iCs/>
        </w:rPr>
        <w:t>Biochem</w:t>
      </w:r>
      <w:proofErr w:type="spellEnd"/>
      <w:r w:rsidR="0054294B" w:rsidRPr="00791F68">
        <w:rPr>
          <w:rFonts w:cs="Arial"/>
          <w:iCs/>
        </w:rPr>
        <w:t xml:space="preserve"> 75</w:t>
      </w:r>
      <w:r w:rsidR="007E2015">
        <w:rPr>
          <w:rFonts w:cs="Arial"/>
        </w:rPr>
        <w:t>(11):</w:t>
      </w:r>
      <w:r w:rsidR="000C0778">
        <w:rPr>
          <w:rFonts w:cs="Arial"/>
        </w:rPr>
        <w:t>2243-2245</w:t>
      </w:r>
      <w:r w:rsidR="0054294B" w:rsidRPr="00791F68">
        <w:rPr>
          <w:rFonts w:cs="Arial"/>
        </w:rPr>
        <w:t xml:space="preserve"> </w:t>
      </w:r>
    </w:p>
    <w:p w14:paraId="6D3AC0D6" w14:textId="77777777" w:rsidR="0054294B" w:rsidRPr="00791F68" w:rsidRDefault="0054294B" w:rsidP="0054294B">
      <w:pPr>
        <w:autoSpaceDE w:val="0"/>
        <w:autoSpaceDN w:val="0"/>
        <w:adjustRightInd w:val="0"/>
        <w:rPr>
          <w:rFonts w:cs="Arial"/>
        </w:rPr>
      </w:pPr>
    </w:p>
    <w:p w14:paraId="337CBC1B" w14:textId="74315375" w:rsidR="0054294B" w:rsidRPr="00791F68" w:rsidRDefault="00BB64C6" w:rsidP="0054294B">
      <w:pPr>
        <w:autoSpaceDE w:val="0"/>
        <w:autoSpaceDN w:val="0"/>
        <w:adjustRightInd w:val="0"/>
        <w:rPr>
          <w:rFonts w:cs="Arial"/>
        </w:rPr>
      </w:pPr>
      <w:proofErr w:type="spellStart"/>
      <w:r w:rsidRPr="00791F68">
        <w:rPr>
          <w:rFonts w:cs="Arial"/>
        </w:rPr>
        <w:t>Teng</w:t>
      </w:r>
      <w:proofErr w:type="spellEnd"/>
      <w:r w:rsidRPr="00791F68">
        <w:rPr>
          <w:rFonts w:cs="Arial"/>
        </w:rPr>
        <w:t xml:space="preserve"> KT, </w:t>
      </w:r>
      <w:proofErr w:type="spellStart"/>
      <w:r w:rsidRPr="00791F68">
        <w:rPr>
          <w:rFonts w:cs="Arial"/>
        </w:rPr>
        <w:t>Voon</w:t>
      </w:r>
      <w:proofErr w:type="spellEnd"/>
      <w:r w:rsidRPr="00791F68">
        <w:rPr>
          <w:rFonts w:cs="Arial"/>
        </w:rPr>
        <w:t xml:space="preserve"> PT, Cheng HM, </w:t>
      </w:r>
      <w:proofErr w:type="spellStart"/>
      <w:r w:rsidRPr="00791F68">
        <w:rPr>
          <w:rFonts w:cs="Arial"/>
        </w:rPr>
        <w:t>Nesaretnam</w:t>
      </w:r>
      <w:proofErr w:type="spellEnd"/>
      <w:r w:rsidR="00D32DB4">
        <w:rPr>
          <w:rFonts w:cs="Arial"/>
        </w:rPr>
        <w:t xml:space="preserve"> K (2010)</w:t>
      </w:r>
      <w:r w:rsidR="0054294B" w:rsidRPr="00791F68">
        <w:rPr>
          <w:rFonts w:cs="Arial"/>
        </w:rPr>
        <w:t xml:space="preserve"> </w:t>
      </w:r>
      <w:proofErr w:type="gramStart"/>
      <w:r w:rsidR="0054294B" w:rsidRPr="00791F68">
        <w:rPr>
          <w:rFonts w:cs="Arial"/>
        </w:rPr>
        <w:t>Effects</w:t>
      </w:r>
      <w:proofErr w:type="gramEnd"/>
      <w:r w:rsidR="0054294B" w:rsidRPr="00791F68">
        <w:rPr>
          <w:rFonts w:cs="Arial"/>
        </w:rPr>
        <w:t xml:space="preserve"> of partially hydrogenated, semi-saturated, and high </w:t>
      </w:r>
      <w:proofErr w:type="spellStart"/>
      <w:r w:rsidR="0054294B" w:rsidRPr="00791F68">
        <w:rPr>
          <w:rFonts w:cs="Arial"/>
        </w:rPr>
        <w:t>oleate</w:t>
      </w:r>
      <w:proofErr w:type="spellEnd"/>
      <w:r w:rsidR="0054294B" w:rsidRPr="00791F68">
        <w:rPr>
          <w:rFonts w:cs="Arial"/>
        </w:rPr>
        <w:t xml:space="preserve"> vegetable oils on inflammatory</w:t>
      </w:r>
      <w:r w:rsidRPr="00791F68">
        <w:rPr>
          <w:rFonts w:cs="Arial"/>
        </w:rPr>
        <w:t xml:space="preserve"> markers and lipids.  </w:t>
      </w:r>
      <w:hyperlink r:id="rId59" w:tooltip="Lipids." w:history="1">
        <w:r w:rsidRPr="00791F68">
          <w:rPr>
            <w:rFonts w:cs="Arial"/>
          </w:rPr>
          <w:t>Lipids</w:t>
        </w:r>
      </w:hyperlink>
      <w:r w:rsidR="00202CF8">
        <w:rPr>
          <w:rFonts w:cs="Arial"/>
        </w:rPr>
        <w:t xml:space="preserve"> </w:t>
      </w:r>
      <w:r w:rsidR="007E2015">
        <w:rPr>
          <w:rFonts w:cs="Arial"/>
        </w:rPr>
        <w:t>45(5):</w:t>
      </w:r>
      <w:r w:rsidRPr="00791F68">
        <w:rPr>
          <w:rFonts w:cs="Arial"/>
        </w:rPr>
        <w:t>385-92</w:t>
      </w:r>
    </w:p>
    <w:p w14:paraId="09509923" w14:textId="77777777" w:rsidR="00BB64C6" w:rsidRPr="00791F68" w:rsidRDefault="00BB64C6" w:rsidP="0054294B">
      <w:pPr>
        <w:autoSpaceDE w:val="0"/>
        <w:autoSpaceDN w:val="0"/>
        <w:adjustRightInd w:val="0"/>
        <w:rPr>
          <w:rFonts w:cs="Arial"/>
        </w:rPr>
      </w:pPr>
    </w:p>
    <w:p w14:paraId="53271ED5" w14:textId="2742F2C7" w:rsidR="00ED2EE7" w:rsidRPr="00791F68" w:rsidRDefault="00ED2EE7" w:rsidP="007D31D9">
      <w:pPr>
        <w:rPr>
          <w:rFonts w:cs="Arial"/>
          <w:lang w:val="en"/>
        </w:rPr>
      </w:pPr>
      <w:r w:rsidRPr="00791F68">
        <w:rPr>
          <w:rFonts w:cs="Arial"/>
        </w:rPr>
        <w:t xml:space="preserve">Therapeutic Goods Administration Office of Complementary </w:t>
      </w:r>
      <w:r w:rsidR="003A1064" w:rsidRPr="00791F68">
        <w:rPr>
          <w:rFonts w:cs="Arial"/>
        </w:rPr>
        <w:t>Medicine</w:t>
      </w:r>
      <w:r w:rsidRPr="00791F68">
        <w:rPr>
          <w:rFonts w:cs="Arial"/>
        </w:rPr>
        <w:t xml:space="preserve"> </w:t>
      </w:r>
      <w:r w:rsidR="003A1064" w:rsidRPr="00791F68">
        <w:rPr>
          <w:rFonts w:cs="Arial"/>
        </w:rPr>
        <w:t>(2014)</w:t>
      </w:r>
      <w:r w:rsidRPr="00791F68">
        <w:rPr>
          <w:rFonts w:cs="Arial"/>
        </w:rPr>
        <w:t xml:space="preserve"> Guidelines on the evidence required to support indications for listed complementary medicines. </w:t>
      </w:r>
      <w:proofErr w:type="gramStart"/>
      <w:r w:rsidRPr="00791F68">
        <w:rPr>
          <w:rFonts w:cs="Arial"/>
        </w:rPr>
        <w:t>Version 2.1.</w:t>
      </w:r>
      <w:proofErr w:type="gramEnd"/>
      <w:r w:rsidRPr="00791F68">
        <w:rPr>
          <w:rFonts w:cs="Arial"/>
        </w:rPr>
        <w:t xml:space="preserve"> Available at </w:t>
      </w:r>
      <w:hyperlink r:id="rId60" w:history="1">
        <w:r w:rsidRPr="00791F68">
          <w:rPr>
            <w:rStyle w:val="Hyperlink"/>
            <w:rFonts w:cs="Arial"/>
            <w:color w:val="auto"/>
          </w:rPr>
          <w:t>https://www.tga.gov.au/publication/evidence-guidelines</w:t>
        </w:r>
      </w:hyperlink>
      <w:r w:rsidRPr="00791F68">
        <w:rPr>
          <w:rFonts w:cs="Arial"/>
        </w:rPr>
        <w:t xml:space="preserve"> (Accessed 30 March, 2015)</w:t>
      </w:r>
    </w:p>
    <w:p w14:paraId="3D8BB987" w14:textId="77777777" w:rsidR="007D31D9" w:rsidRPr="00791F68" w:rsidRDefault="007D31D9" w:rsidP="007D31D9">
      <w:pPr>
        <w:autoSpaceDE w:val="0"/>
        <w:autoSpaceDN w:val="0"/>
        <w:adjustRightInd w:val="0"/>
        <w:ind w:left="360"/>
        <w:rPr>
          <w:rFonts w:cs="Arial"/>
        </w:rPr>
      </w:pPr>
    </w:p>
    <w:p w14:paraId="345946F6" w14:textId="07B97E64" w:rsidR="007D31D9" w:rsidRPr="00202CF8" w:rsidRDefault="007D31D9" w:rsidP="007D31D9">
      <w:pPr>
        <w:autoSpaceDE w:val="0"/>
        <w:autoSpaceDN w:val="0"/>
        <w:adjustRightInd w:val="0"/>
        <w:rPr>
          <w:rFonts w:cs="Arial"/>
        </w:rPr>
      </w:pPr>
      <w:proofErr w:type="spellStart"/>
      <w:r w:rsidRPr="00791F68">
        <w:rPr>
          <w:rFonts w:cs="Arial"/>
        </w:rPr>
        <w:t>Tholstrup</w:t>
      </w:r>
      <w:proofErr w:type="spellEnd"/>
      <w:r w:rsidRPr="00791F68">
        <w:rPr>
          <w:rFonts w:cs="Arial"/>
        </w:rPr>
        <w:t xml:space="preserve"> T, Raff M, </w:t>
      </w:r>
      <w:proofErr w:type="spellStart"/>
      <w:r w:rsidRPr="00791F68">
        <w:rPr>
          <w:rFonts w:cs="Arial"/>
        </w:rPr>
        <w:t>Basu</w:t>
      </w:r>
      <w:proofErr w:type="spellEnd"/>
      <w:r w:rsidRPr="00791F68">
        <w:rPr>
          <w:rFonts w:cs="Arial"/>
        </w:rPr>
        <w:t xml:space="preserve"> S, </w:t>
      </w:r>
      <w:proofErr w:type="spellStart"/>
      <w:r w:rsidRPr="00791F68">
        <w:rPr>
          <w:rFonts w:cs="Arial"/>
        </w:rPr>
        <w:t>Nonboe</w:t>
      </w:r>
      <w:proofErr w:type="spellEnd"/>
      <w:r w:rsidRPr="00791F68">
        <w:rPr>
          <w:rFonts w:cs="Arial"/>
        </w:rPr>
        <w:t xml:space="preserve"> P, </w:t>
      </w:r>
      <w:proofErr w:type="spellStart"/>
      <w:r w:rsidRPr="00791F68">
        <w:rPr>
          <w:rFonts w:cs="Arial"/>
        </w:rPr>
        <w:t>Sejrsen</w:t>
      </w:r>
      <w:proofErr w:type="spellEnd"/>
      <w:r w:rsidRPr="00791F68">
        <w:rPr>
          <w:rFonts w:cs="Arial"/>
        </w:rPr>
        <w:t xml:space="preserve"> K,</w:t>
      </w:r>
      <w:r w:rsidR="00202CF8">
        <w:rPr>
          <w:rFonts w:cs="Arial"/>
        </w:rPr>
        <w:t xml:space="preserve"> </w:t>
      </w:r>
      <w:proofErr w:type="spellStart"/>
      <w:r w:rsidR="00202CF8" w:rsidRPr="00791F68">
        <w:rPr>
          <w:rFonts w:cs="Arial"/>
        </w:rPr>
        <w:t>Tholstrup</w:t>
      </w:r>
      <w:proofErr w:type="spellEnd"/>
      <w:r w:rsidR="00202CF8" w:rsidRPr="00791F68">
        <w:rPr>
          <w:rFonts w:cs="Arial"/>
        </w:rPr>
        <w:t xml:space="preserve"> T, Raff </w:t>
      </w:r>
      <w:r w:rsidR="00202CF8">
        <w:rPr>
          <w:rFonts w:cs="Arial"/>
        </w:rPr>
        <w:t xml:space="preserve">M, </w:t>
      </w:r>
      <w:proofErr w:type="spellStart"/>
      <w:r w:rsidR="00202CF8">
        <w:rPr>
          <w:rFonts w:cs="Arial"/>
        </w:rPr>
        <w:t>Basu</w:t>
      </w:r>
      <w:proofErr w:type="spellEnd"/>
      <w:r w:rsidR="00202CF8">
        <w:rPr>
          <w:rFonts w:cs="Arial"/>
        </w:rPr>
        <w:t xml:space="preserve"> S, </w:t>
      </w:r>
      <w:proofErr w:type="spellStart"/>
      <w:r w:rsidR="00202CF8">
        <w:rPr>
          <w:rFonts w:cs="Arial"/>
        </w:rPr>
        <w:t>Nonboe</w:t>
      </w:r>
      <w:proofErr w:type="spellEnd"/>
      <w:r w:rsidR="00202CF8">
        <w:rPr>
          <w:rFonts w:cs="Arial"/>
        </w:rPr>
        <w:t xml:space="preserve"> P, </w:t>
      </w:r>
      <w:proofErr w:type="spellStart"/>
      <w:r w:rsidR="00202CF8">
        <w:rPr>
          <w:rFonts w:cs="Arial"/>
        </w:rPr>
        <w:t>Sejrsen</w:t>
      </w:r>
      <w:proofErr w:type="spellEnd"/>
      <w:r w:rsidR="00202CF8">
        <w:rPr>
          <w:rFonts w:cs="Arial"/>
        </w:rPr>
        <w:t xml:space="preserve"> K</w:t>
      </w:r>
      <w:r w:rsidRPr="00791F68">
        <w:rPr>
          <w:rFonts w:cs="Arial"/>
        </w:rPr>
        <w:t xml:space="preserve"> (2006) Effects of butter high in ruminant </w:t>
      </w:r>
      <w:r w:rsidRPr="00202CF8">
        <w:rPr>
          <w:rFonts w:cs="Arial"/>
        </w:rPr>
        <w:t xml:space="preserve">trans and monounsaturated fatty acids on lipoproteins, incorporation of fatty acids into lipid classes, plasma C-reactive protein, oxidative stress, </w:t>
      </w:r>
      <w:proofErr w:type="spellStart"/>
      <w:r w:rsidRPr="00202CF8">
        <w:rPr>
          <w:rFonts w:cs="Arial"/>
        </w:rPr>
        <w:t>hemostatic</w:t>
      </w:r>
      <w:proofErr w:type="spellEnd"/>
      <w:r w:rsidRPr="00202CF8">
        <w:rPr>
          <w:rFonts w:cs="Arial"/>
        </w:rPr>
        <w:t xml:space="preserve"> variables, and insulin in healthy young </w:t>
      </w:r>
      <w:r w:rsidR="007E2015" w:rsidRPr="00202CF8">
        <w:rPr>
          <w:rFonts w:cs="Arial"/>
        </w:rPr>
        <w:t xml:space="preserve">men. </w:t>
      </w:r>
      <w:proofErr w:type="gramStart"/>
      <w:r w:rsidR="007E2015" w:rsidRPr="00202CF8">
        <w:rPr>
          <w:rFonts w:cs="Arial"/>
        </w:rPr>
        <w:t>Am</w:t>
      </w:r>
      <w:proofErr w:type="gramEnd"/>
      <w:r w:rsidR="007E2015" w:rsidRPr="00202CF8">
        <w:rPr>
          <w:rFonts w:cs="Arial"/>
        </w:rPr>
        <w:t xml:space="preserve"> J </w:t>
      </w:r>
      <w:proofErr w:type="spellStart"/>
      <w:r w:rsidR="007E2015" w:rsidRPr="00202CF8">
        <w:rPr>
          <w:rFonts w:cs="Arial"/>
        </w:rPr>
        <w:t>Clin</w:t>
      </w:r>
      <w:proofErr w:type="spellEnd"/>
      <w:r w:rsidR="007E2015" w:rsidRPr="00202CF8">
        <w:rPr>
          <w:rFonts w:cs="Arial"/>
        </w:rPr>
        <w:t xml:space="preserve"> </w:t>
      </w:r>
      <w:proofErr w:type="spellStart"/>
      <w:r w:rsidR="007E2015" w:rsidRPr="00202CF8">
        <w:rPr>
          <w:rFonts w:cs="Arial"/>
        </w:rPr>
        <w:t>Nutr</w:t>
      </w:r>
      <w:proofErr w:type="spellEnd"/>
      <w:r w:rsidR="007E2015" w:rsidRPr="00202CF8">
        <w:rPr>
          <w:rFonts w:cs="Arial"/>
        </w:rPr>
        <w:t xml:space="preserve"> 83:</w:t>
      </w:r>
      <w:r w:rsidR="000C0778" w:rsidRPr="00202CF8">
        <w:rPr>
          <w:rFonts w:cs="Arial"/>
        </w:rPr>
        <w:t>237–243</w:t>
      </w:r>
    </w:p>
    <w:p w14:paraId="600419D1" w14:textId="77777777" w:rsidR="007D31D9" w:rsidRPr="00202CF8" w:rsidRDefault="007D31D9" w:rsidP="007D31D9">
      <w:pPr>
        <w:autoSpaceDE w:val="0"/>
        <w:autoSpaceDN w:val="0"/>
        <w:adjustRightInd w:val="0"/>
        <w:rPr>
          <w:rFonts w:cs="Arial"/>
        </w:rPr>
      </w:pPr>
    </w:p>
    <w:p w14:paraId="185F4796" w14:textId="1F34FE3F" w:rsidR="007D31D9" w:rsidRPr="00202CF8" w:rsidRDefault="007D31D9" w:rsidP="007D31D9">
      <w:pPr>
        <w:autoSpaceDE w:val="0"/>
        <w:autoSpaceDN w:val="0"/>
        <w:adjustRightInd w:val="0"/>
        <w:rPr>
          <w:rFonts w:cs="Arial"/>
        </w:rPr>
      </w:pPr>
      <w:proofErr w:type="spellStart"/>
      <w:r w:rsidRPr="00202CF8">
        <w:rPr>
          <w:rFonts w:cs="Arial"/>
        </w:rPr>
        <w:t>Tricon</w:t>
      </w:r>
      <w:proofErr w:type="spellEnd"/>
      <w:r w:rsidRPr="00202CF8">
        <w:rPr>
          <w:rFonts w:cs="Arial"/>
        </w:rPr>
        <w:t xml:space="preserve"> S, </w:t>
      </w:r>
      <w:proofErr w:type="spellStart"/>
      <w:r w:rsidRPr="00202CF8">
        <w:rPr>
          <w:rFonts w:cs="Arial"/>
        </w:rPr>
        <w:t>Burdge</w:t>
      </w:r>
      <w:proofErr w:type="spellEnd"/>
      <w:r w:rsidRPr="00202CF8">
        <w:rPr>
          <w:rFonts w:cs="Arial"/>
        </w:rPr>
        <w:t xml:space="preserve"> GC, Jones EL, Russell JJ, El-</w:t>
      </w:r>
      <w:proofErr w:type="spellStart"/>
      <w:r w:rsidRPr="00202CF8">
        <w:rPr>
          <w:rFonts w:cs="Arial"/>
        </w:rPr>
        <w:t>Khazen</w:t>
      </w:r>
      <w:proofErr w:type="spellEnd"/>
      <w:r w:rsidRPr="00202CF8">
        <w:rPr>
          <w:rFonts w:cs="Arial"/>
        </w:rPr>
        <w:t xml:space="preserve"> S,</w:t>
      </w:r>
      <w:r w:rsidR="00202CF8" w:rsidRPr="00202CF8">
        <w:rPr>
          <w:rFonts w:cs="Arial"/>
        </w:rPr>
        <w:t xml:space="preserve"> </w:t>
      </w:r>
      <w:hyperlink r:id="rId61" w:history="1">
        <w:r w:rsidR="00202CF8" w:rsidRPr="00202CF8">
          <w:rPr>
            <w:rFonts w:cs="Arial"/>
          </w:rPr>
          <w:t>Moretti E</w:t>
        </w:r>
      </w:hyperlink>
      <w:r w:rsidR="00202CF8" w:rsidRPr="00202CF8">
        <w:rPr>
          <w:rFonts w:cs="Arial"/>
        </w:rPr>
        <w:t xml:space="preserve">, </w:t>
      </w:r>
      <w:hyperlink r:id="rId62" w:history="1">
        <w:r w:rsidR="00202CF8" w:rsidRPr="00202CF8">
          <w:rPr>
            <w:rFonts w:cs="Arial"/>
          </w:rPr>
          <w:t>Hall WL</w:t>
        </w:r>
      </w:hyperlink>
      <w:r w:rsidR="00202CF8" w:rsidRPr="00202CF8">
        <w:rPr>
          <w:rFonts w:cs="Arial"/>
        </w:rPr>
        <w:t xml:space="preserve">, </w:t>
      </w:r>
      <w:hyperlink r:id="rId63" w:history="1">
        <w:r w:rsidR="00202CF8" w:rsidRPr="00202CF8">
          <w:rPr>
            <w:rFonts w:cs="Arial"/>
          </w:rPr>
          <w:t>Gerry AB</w:t>
        </w:r>
      </w:hyperlink>
      <w:r w:rsidR="00202CF8" w:rsidRPr="00202CF8">
        <w:rPr>
          <w:rFonts w:cs="Arial"/>
        </w:rPr>
        <w:t xml:space="preserve">, </w:t>
      </w:r>
      <w:hyperlink r:id="rId64" w:history="1">
        <w:proofErr w:type="spellStart"/>
        <w:r w:rsidR="00202CF8" w:rsidRPr="00202CF8">
          <w:rPr>
            <w:rFonts w:cs="Arial"/>
          </w:rPr>
          <w:t>Leake</w:t>
        </w:r>
        <w:proofErr w:type="spellEnd"/>
        <w:r w:rsidR="00202CF8" w:rsidRPr="00202CF8">
          <w:rPr>
            <w:rFonts w:cs="Arial"/>
          </w:rPr>
          <w:t xml:space="preserve"> DS</w:t>
        </w:r>
      </w:hyperlink>
      <w:r w:rsidR="00202CF8" w:rsidRPr="00202CF8">
        <w:rPr>
          <w:rFonts w:cs="Arial"/>
        </w:rPr>
        <w:t xml:space="preserve">, </w:t>
      </w:r>
      <w:hyperlink r:id="rId65" w:history="1">
        <w:proofErr w:type="spellStart"/>
        <w:r w:rsidR="00202CF8" w:rsidRPr="00202CF8">
          <w:rPr>
            <w:rFonts w:cs="Arial"/>
          </w:rPr>
          <w:t>Grimble</w:t>
        </w:r>
        <w:proofErr w:type="spellEnd"/>
        <w:r w:rsidR="00202CF8" w:rsidRPr="00202CF8">
          <w:rPr>
            <w:rFonts w:cs="Arial"/>
          </w:rPr>
          <w:t xml:space="preserve"> RF</w:t>
        </w:r>
      </w:hyperlink>
      <w:r w:rsidR="00202CF8" w:rsidRPr="00202CF8">
        <w:rPr>
          <w:rFonts w:cs="Arial"/>
        </w:rPr>
        <w:t xml:space="preserve">, </w:t>
      </w:r>
      <w:hyperlink r:id="rId66" w:history="1">
        <w:r w:rsidR="00202CF8" w:rsidRPr="00202CF8">
          <w:rPr>
            <w:rFonts w:cs="Arial"/>
          </w:rPr>
          <w:t>Williams CM</w:t>
        </w:r>
      </w:hyperlink>
      <w:r w:rsidR="00202CF8" w:rsidRPr="00202CF8">
        <w:rPr>
          <w:rFonts w:cs="Arial"/>
        </w:rPr>
        <w:t xml:space="preserve">, </w:t>
      </w:r>
      <w:hyperlink r:id="rId67" w:history="1">
        <w:r w:rsidR="00202CF8" w:rsidRPr="00202CF8">
          <w:rPr>
            <w:rFonts w:cs="Arial"/>
          </w:rPr>
          <w:t>Calder PC</w:t>
        </w:r>
      </w:hyperlink>
      <w:r w:rsidR="00202CF8" w:rsidRPr="00202CF8">
        <w:rPr>
          <w:rFonts w:cs="Arial"/>
        </w:rPr>
        <w:t xml:space="preserve">, </w:t>
      </w:r>
      <w:hyperlink r:id="rId68" w:history="1">
        <w:proofErr w:type="spellStart"/>
        <w:r w:rsidR="00202CF8" w:rsidRPr="00202CF8">
          <w:rPr>
            <w:rFonts w:cs="Arial"/>
          </w:rPr>
          <w:t>Yaqoob</w:t>
        </w:r>
        <w:proofErr w:type="spellEnd"/>
        <w:r w:rsidR="00202CF8" w:rsidRPr="00202CF8">
          <w:rPr>
            <w:rFonts w:cs="Arial"/>
          </w:rPr>
          <w:t xml:space="preserve"> P</w:t>
        </w:r>
      </w:hyperlink>
      <w:r w:rsidRPr="00202CF8">
        <w:rPr>
          <w:rFonts w:cs="Arial"/>
        </w:rPr>
        <w:t xml:space="preserve"> (2006) Effects of dairy products naturally enriched with cis-9,trans-11 conjugated linoleic acid on the blood lipid profile in healthy middle-aged </w:t>
      </w:r>
      <w:r w:rsidR="000C0778" w:rsidRPr="00202CF8">
        <w:rPr>
          <w:rFonts w:cs="Arial"/>
        </w:rPr>
        <w:t xml:space="preserve">men. </w:t>
      </w:r>
      <w:proofErr w:type="gramStart"/>
      <w:r w:rsidR="000C0778" w:rsidRPr="00202CF8">
        <w:rPr>
          <w:rFonts w:cs="Arial"/>
        </w:rPr>
        <w:t>Am</w:t>
      </w:r>
      <w:proofErr w:type="gramEnd"/>
      <w:r w:rsidR="000C0778" w:rsidRPr="00202CF8">
        <w:rPr>
          <w:rFonts w:cs="Arial"/>
        </w:rPr>
        <w:t xml:space="preserve"> J </w:t>
      </w:r>
      <w:proofErr w:type="spellStart"/>
      <w:r w:rsidR="000C0778" w:rsidRPr="00202CF8">
        <w:rPr>
          <w:rFonts w:cs="Arial"/>
        </w:rPr>
        <w:t>Clin</w:t>
      </w:r>
      <w:proofErr w:type="spellEnd"/>
      <w:r w:rsidR="000C0778" w:rsidRPr="00202CF8">
        <w:rPr>
          <w:rFonts w:cs="Arial"/>
        </w:rPr>
        <w:t xml:space="preserve"> </w:t>
      </w:r>
      <w:proofErr w:type="spellStart"/>
      <w:r w:rsidR="000C0778" w:rsidRPr="00202CF8">
        <w:rPr>
          <w:rFonts w:cs="Arial"/>
        </w:rPr>
        <w:t>Nutr</w:t>
      </w:r>
      <w:proofErr w:type="spellEnd"/>
      <w:r w:rsidR="000C0778" w:rsidRPr="00202CF8">
        <w:rPr>
          <w:rFonts w:cs="Arial"/>
        </w:rPr>
        <w:t xml:space="preserve"> 83: 744–753</w:t>
      </w:r>
    </w:p>
    <w:p w14:paraId="1A4A051C" w14:textId="77777777" w:rsidR="007D31D9" w:rsidRPr="00791F68" w:rsidRDefault="007D31D9" w:rsidP="007D31D9">
      <w:pPr>
        <w:autoSpaceDE w:val="0"/>
        <w:autoSpaceDN w:val="0"/>
        <w:adjustRightInd w:val="0"/>
        <w:rPr>
          <w:rFonts w:cs="Arial"/>
        </w:rPr>
      </w:pPr>
    </w:p>
    <w:p w14:paraId="24B2BED1" w14:textId="137E8793" w:rsidR="007D31D9" w:rsidRPr="00791F68" w:rsidRDefault="007D31D9" w:rsidP="007D31D9">
      <w:pPr>
        <w:autoSpaceDE w:val="0"/>
        <w:autoSpaceDN w:val="0"/>
        <w:adjustRightInd w:val="0"/>
        <w:rPr>
          <w:rFonts w:cs="Arial"/>
        </w:rPr>
      </w:pPr>
      <w:r w:rsidRPr="00791F68">
        <w:rPr>
          <w:rFonts w:cs="Arial"/>
        </w:rPr>
        <w:t xml:space="preserve">Vega-Lopez S, </w:t>
      </w:r>
      <w:proofErr w:type="spellStart"/>
      <w:r w:rsidRPr="00791F68">
        <w:rPr>
          <w:rFonts w:cs="Arial"/>
        </w:rPr>
        <w:t>Ausman</w:t>
      </w:r>
      <w:proofErr w:type="spellEnd"/>
      <w:r w:rsidRPr="00791F68">
        <w:rPr>
          <w:rFonts w:cs="Arial"/>
        </w:rPr>
        <w:t xml:space="preserve"> LM, </w:t>
      </w:r>
      <w:proofErr w:type="spellStart"/>
      <w:r w:rsidRPr="00791F68">
        <w:rPr>
          <w:rFonts w:cs="Arial"/>
        </w:rPr>
        <w:t>Jalbert</w:t>
      </w:r>
      <w:proofErr w:type="spellEnd"/>
      <w:r w:rsidRPr="00791F68">
        <w:rPr>
          <w:rFonts w:cs="Arial"/>
        </w:rPr>
        <w:t xml:space="preserve"> SM, </w:t>
      </w:r>
      <w:proofErr w:type="spellStart"/>
      <w:r w:rsidRPr="00791F68">
        <w:rPr>
          <w:rFonts w:cs="Arial"/>
        </w:rPr>
        <w:t>Erkkila</w:t>
      </w:r>
      <w:proofErr w:type="spellEnd"/>
      <w:r w:rsidRPr="00791F68">
        <w:rPr>
          <w:rFonts w:cs="Arial"/>
        </w:rPr>
        <w:t xml:space="preserve"> AT, Lichtenstein AH (2006) Palm and partially hydrogenated soybean oils adversely alter lipoprotein profiles compared with soybean and canola oils in moderately </w:t>
      </w:r>
      <w:proofErr w:type="spellStart"/>
      <w:r w:rsidRPr="00791F68">
        <w:rPr>
          <w:rFonts w:cs="Arial"/>
        </w:rPr>
        <w:t>hyperlipidemic</w:t>
      </w:r>
      <w:proofErr w:type="spellEnd"/>
      <w:r w:rsidRPr="00791F68">
        <w:rPr>
          <w:rFonts w:cs="Arial"/>
        </w:rPr>
        <w:t xml:space="preserve"> sub</w:t>
      </w:r>
      <w:r w:rsidR="007E2015">
        <w:rPr>
          <w:rFonts w:cs="Arial"/>
        </w:rPr>
        <w:t xml:space="preserve">jects. </w:t>
      </w:r>
      <w:proofErr w:type="gramStart"/>
      <w:r w:rsidR="007E2015">
        <w:rPr>
          <w:rFonts w:cs="Arial"/>
        </w:rPr>
        <w:t>Am</w:t>
      </w:r>
      <w:proofErr w:type="gramEnd"/>
      <w:r w:rsidR="007E2015">
        <w:rPr>
          <w:rFonts w:cs="Arial"/>
        </w:rPr>
        <w:t xml:space="preserve"> J </w:t>
      </w:r>
      <w:proofErr w:type="spellStart"/>
      <w:r w:rsidR="007E2015">
        <w:rPr>
          <w:rFonts w:cs="Arial"/>
        </w:rPr>
        <w:t>Clin</w:t>
      </w:r>
      <w:proofErr w:type="spellEnd"/>
      <w:r w:rsidR="007E2015">
        <w:rPr>
          <w:rFonts w:cs="Arial"/>
        </w:rPr>
        <w:t xml:space="preserve"> </w:t>
      </w:r>
      <w:proofErr w:type="spellStart"/>
      <w:r w:rsidR="007E2015">
        <w:rPr>
          <w:rFonts w:cs="Arial"/>
        </w:rPr>
        <w:t>Nutr</w:t>
      </w:r>
      <w:proofErr w:type="spellEnd"/>
      <w:r w:rsidR="007E2015">
        <w:rPr>
          <w:rFonts w:cs="Arial"/>
        </w:rPr>
        <w:t xml:space="preserve"> 84:</w:t>
      </w:r>
      <w:r w:rsidR="000C0778">
        <w:rPr>
          <w:rFonts w:cs="Arial"/>
        </w:rPr>
        <w:t>54–62</w:t>
      </w:r>
    </w:p>
    <w:p w14:paraId="01D23A99" w14:textId="77777777" w:rsidR="0054294B" w:rsidRPr="00791F68" w:rsidRDefault="0054294B" w:rsidP="007D31D9">
      <w:pPr>
        <w:autoSpaceDE w:val="0"/>
        <w:autoSpaceDN w:val="0"/>
        <w:adjustRightInd w:val="0"/>
        <w:rPr>
          <w:rFonts w:cs="Arial"/>
        </w:rPr>
      </w:pPr>
    </w:p>
    <w:p w14:paraId="7FC75964" w14:textId="533A1174" w:rsidR="0054294B" w:rsidRPr="00791F68" w:rsidRDefault="00544A04" w:rsidP="0054294B">
      <w:pPr>
        <w:autoSpaceDE w:val="0"/>
        <w:autoSpaceDN w:val="0"/>
        <w:adjustRightInd w:val="0"/>
        <w:rPr>
          <w:rFonts w:cs="Arial"/>
        </w:rPr>
      </w:pPr>
      <w:proofErr w:type="spellStart"/>
      <w:r w:rsidRPr="00791F68">
        <w:rPr>
          <w:rFonts w:cs="Arial"/>
        </w:rPr>
        <w:t>Venkatramanan</w:t>
      </w:r>
      <w:proofErr w:type="spellEnd"/>
      <w:r w:rsidRPr="00791F68">
        <w:rPr>
          <w:rFonts w:cs="Arial"/>
        </w:rPr>
        <w:t xml:space="preserve"> S, Joseph SV, </w:t>
      </w:r>
      <w:proofErr w:type="spellStart"/>
      <w:r w:rsidRPr="00791F68">
        <w:rPr>
          <w:rFonts w:cs="Arial"/>
        </w:rPr>
        <w:t>Chouinard</w:t>
      </w:r>
      <w:proofErr w:type="spellEnd"/>
      <w:r w:rsidRPr="00791F68">
        <w:rPr>
          <w:rFonts w:cs="Arial"/>
        </w:rPr>
        <w:t xml:space="preserve"> PY, Jacques H, Farnworth ER, Jones P</w:t>
      </w:r>
      <w:r w:rsidR="00D32DB4">
        <w:rPr>
          <w:rFonts w:cs="Arial"/>
        </w:rPr>
        <w:t xml:space="preserve">J (2010) </w:t>
      </w:r>
      <w:r w:rsidR="0054294B" w:rsidRPr="00791F68">
        <w:rPr>
          <w:rFonts w:cs="Arial"/>
        </w:rPr>
        <w:t xml:space="preserve">Milk enriched with conjugated linoleic acid fails to alter blood lipids or body composition in moderately overweight, borderline </w:t>
      </w:r>
      <w:proofErr w:type="spellStart"/>
      <w:r w:rsidR="0054294B" w:rsidRPr="00791F68">
        <w:rPr>
          <w:rFonts w:cs="Arial"/>
        </w:rPr>
        <w:t>hyperlipidemic</w:t>
      </w:r>
      <w:proofErr w:type="spellEnd"/>
      <w:r w:rsidR="0054294B" w:rsidRPr="00791F68">
        <w:rPr>
          <w:rFonts w:cs="Arial"/>
        </w:rPr>
        <w:t xml:space="preserve"> individuals. </w:t>
      </w:r>
      <w:r w:rsidR="001C72E4">
        <w:rPr>
          <w:rFonts w:cs="Arial"/>
          <w:iCs/>
        </w:rPr>
        <w:t xml:space="preserve">J Am </w:t>
      </w:r>
      <w:proofErr w:type="spellStart"/>
      <w:r w:rsidR="001C72E4">
        <w:rPr>
          <w:rFonts w:cs="Arial"/>
          <w:iCs/>
        </w:rPr>
        <w:t>Coll</w:t>
      </w:r>
      <w:proofErr w:type="spellEnd"/>
      <w:r w:rsidR="001C72E4">
        <w:rPr>
          <w:rFonts w:cs="Arial"/>
          <w:iCs/>
        </w:rPr>
        <w:t xml:space="preserve"> </w:t>
      </w:r>
      <w:proofErr w:type="spellStart"/>
      <w:r w:rsidR="001C72E4">
        <w:rPr>
          <w:rFonts w:cs="Arial"/>
          <w:iCs/>
        </w:rPr>
        <w:t>Nutr</w:t>
      </w:r>
      <w:proofErr w:type="spellEnd"/>
      <w:r w:rsidR="0054294B" w:rsidRPr="00791F68">
        <w:rPr>
          <w:rFonts w:cs="Arial"/>
          <w:i/>
          <w:iCs/>
        </w:rPr>
        <w:t xml:space="preserve"> 29</w:t>
      </w:r>
      <w:r w:rsidR="007E2015">
        <w:rPr>
          <w:rFonts w:cs="Arial"/>
        </w:rPr>
        <w:t>(2):</w:t>
      </w:r>
      <w:r w:rsidR="000C0778">
        <w:rPr>
          <w:rFonts w:cs="Arial"/>
        </w:rPr>
        <w:t>152-159</w:t>
      </w:r>
      <w:r w:rsidR="0054294B" w:rsidRPr="00791F68">
        <w:rPr>
          <w:rFonts w:cs="Arial"/>
        </w:rPr>
        <w:t xml:space="preserve"> </w:t>
      </w:r>
    </w:p>
    <w:p w14:paraId="36418A23" w14:textId="77777777" w:rsidR="0054294B" w:rsidRPr="00791F68" w:rsidRDefault="0054294B" w:rsidP="0054294B">
      <w:pPr>
        <w:autoSpaceDE w:val="0"/>
        <w:autoSpaceDN w:val="0"/>
        <w:adjustRightInd w:val="0"/>
        <w:rPr>
          <w:rFonts w:cs="Arial"/>
        </w:rPr>
      </w:pPr>
    </w:p>
    <w:p w14:paraId="23F5D078" w14:textId="057A3597" w:rsidR="00706423" w:rsidRPr="00791F68" w:rsidRDefault="00544A04" w:rsidP="0054294B">
      <w:pPr>
        <w:autoSpaceDE w:val="0"/>
        <w:autoSpaceDN w:val="0"/>
        <w:adjustRightInd w:val="0"/>
        <w:rPr>
          <w:rFonts w:cs="Arial"/>
        </w:rPr>
      </w:pPr>
      <w:r w:rsidRPr="00791F68">
        <w:rPr>
          <w:rFonts w:cs="Arial"/>
        </w:rPr>
        <w:t xml:space="preserve">Wanders AJ, </w:t>
      </w:r>
      <w:proofErr w:type="spellStart"/>
      <w:r w:rsidRPr="00791F68">
        <w:rPr>
          <w:rFonts w:cs="Arial"/>
        </w:rPr>
        <w:t>Brouwer</w:t>
      </w:r>
      <w:proofErr w:type="spellEnd"/>
      <w:r w:rsidRPr="00791F68">
        <w:rPr>
          <w:rFonts w:cs="Arial"/>
        </w:rPr>
        <w:t xml:space="preserve"> IA, </w:t>
      </w:r>
      <w:proofErr w:type="spellStart"/>
      <w:r w:rsidRPr="00791F68">
        <w:rPr>
          <w:rFonts w:cs="Arial"/>
        </w:rPr>
        <w:t>Siebelink</w:t>
      </w:r>
      <w:proofErr w:type="spellEnd"/>
      <w:r w:rsidRPr="00791F68">
        <w:rPr>
          <w:rFonts w:cs="Arial"/>
        </w:rPr>
        <w:t xml:space="preserve"> E, </w:t>
      </w:r>
      <w:proofErr w:type="spellStart"/>
      <w:proofErr w:type="gramStart"/>
      <w:r w:rsidRPr="00791F68">
        <w:rPr>
          <w:rFonts w:cs="Arial"/>
        </w:rPr>
        <w:t>Katan</w:t>
      </w:r>
      <w:proofErr w:type="spellEnd"/>
      <w:proofErr w:type="gramEnd"/>
      <w:r w:rsidRPr="00791F68">
        <w:rPr>
          <w:rFonts w:cs="Arial"/>
        </w:rPr>
        <w:t xml:space="preserve"> M</w:t>
      </w:r>
      <w:r w:rsidR="00D32DB4">
        <w:rPr>
          <w:rFonts w:cs="Arial"/>
        </w:rPr>
        <w:t>B (2010)</w:t>
      </w:r>
      <w:r w:rsidR="0054294B" w:rsidRPr="00791F68">
        <w:rPr>
          <w:rFonts w:cs="Arial"/>
        </w:rPr>
        <w:t xml:space="preserve"> Effect of a high intake of conjugated linoleic acid on lipoprotein levels in healthy human subjects. </w:t>
      </w:r>
      <w:proofErr w:type="spellStart"/>
      <w:r w:rsidR="001C72E4">
        <w:rPr>
          <w:rFonts w:cs="Arial"/>
          <w:iCs/>
        </w:rPr>
        <w:t>PLoS</w:t>
      </w:r>
      <w:proofErr w:type="spellEnd"/>
      <w:r w:rsidR="001C72E4">
        <w:rPr>
          <w:rFonts w:cs="Arial"/>
          <w:iCs/>
        </w:rPr>
        <w:t xml:space="preserve"> One</w:t>
      </w:r>
      <w:r w:rsidR="0054294B" w:rsidRPr="000C0778">
        <w:rPr>
          <w:rFonts w:cs="Arial"/>
          <w:iCs/>
        </w:rPr>
        <w:t xml:space="preserve"> 5</w:t>
      </w:r>
      <w:r w:rsidR="000C0778">
        <w:rPr>
          <w:rFonts w:cs="Arial"/>
        </w:rPr>
        <w:t>(2)</w:t>
      </w:r>
      <w:r w:rsidR="001C72E4">
        <w:rPr>
          <w:rFonts w:cs="Arial"/>
        </w:rPr>
        <w:t>:</w:t>
      </w:r>
      <w:r w:rsidR="000C0778">
        <w:rPr>
          <w:rFonts w:cs="Arial"/>
        </w:rPr>
        <w:t xml:space="preserve"> e9000</w:t>
      </w:r>
      <w:r w:rsidR="0054294B" w:rsidRPr="00791F68">
        <w:rPr>
          <w:rFonts w:cs="Arial"/>
        </w:rPr>
        <w:t xml:space="preserve"> </w:t>
      </w:r>
      <w:proofErr w:type="spellStart"/>
      <w:r w:rsidR="0054294B" w:rsidRPr="00791F68">
        <w:rPr>
          <w:rFonts w:cs="Arial"/>
        </w:rPr>
        <w:t>doi</w:t>
      </w:r>
      <w:proofErr w:type="spellEnd"/>
      <w:r w:rsidR="0054294B" w:rsidRPr="00791F68">
        <w:rPr>
          <w:rFonts w:cs="Arial"/>
        </w:rPr>
        <w:t xml:space="preserve">: 10.1371/journal.pone.0009000 </w:t>
      </w:r>
      <w:r w:rsidR="00FE2F79" w:rsidRPr="00791F68">
        <w:rPr>
          <w:rFonts w:cs="Arial"/>
        </w:rPr>
        <w:t xml:space="preserve"> </w:t>
      </w:r>
    </w:p>
    <w:p w14:paraId="6DB716E2" w14:textId="77777777" w:rsidR="00706423" w:rsidRPr="00791F68" w:rsidRDefault="00706423" w:rsidP="0054294B">
      <w:pPr>
        <w:autoSpaceDE w:val="0"/>
        <w:autoSpaceDN w:val="0"/>
        <w:adjustRightInd w:val="0"/>
        <w:rPr>
          <w:rFonts w:cs="Arial"/>
        </w:rPr>
      </w:pPr>
    </w:p>
    <w:p w14:paraId="3C35A402" w14:textId="4A08C6A0" w:rsidR="00476903" w:rsidRDefault="007D31D9" w:rsidP="004C22EB">
      <w:pPr>
        <w:autoSpaceDE w:val="0"/>
        <w:autoSpaceDN w:val="0"/>
        <w:adjustRightInd w:val="0"/>
        <w:rPr>
          <w:lang w:eastAsia="en-AU"/>
        </w:rPr>
      </w:pPr>
      <w:proofErr w:type="spellStart"/>
      <w:r w:rsidRPr="00791F68">
        <w:rPr>
          <w:rFonts w:cs="Arial"/>
        </w:rPr>
        <w:t>Zock</w:t>
      </w:r>
      <w:proofErr w:type="spellEnd"/>
      <w:r w:rsidRPr="00791F68">
        <w:rPr>
          <w:rFonts w:cs="Arial"/>
        </w:rPr>
        <w:t xml:space="preserve"> PL, </w:t>
      </w:r>
      <w:proofErr w:type="spellStart"/>
      <w:r w:rsidRPr="00791F68">
        <w:rPr>
          <w:rFonts w:cs="Arial"/>
        </w:rPr>
        <w:t>Katan</w:t>
      </w:r>
      <w:proofErr w:type="spellEnd"/>
      <w:r w:rsidRPr="00791F68">
        <w:rPr>
          <w:rFonts w:cs="Arial"/>
        </w:rPr>
        <w:t xml:space="preserve"> MB (1992) Hydrogenation alternatives: effects of </w:t>
      </w:r>
      <w:proofErr w:type="gramStart"/>
      <w:r w:rsidRPr="00791F68">
        <w:rPr>
          <w:rFonts w:cs="Arial"/>
        </w:rPr>
        <w:t>trans</w:t>
      </w:r>
      <w:proofErr w:type="gramEnd"/>
      <w:r w:rsidRPr="00791F68">
        <w:rPr>
          <w:rFonts w:cs="Arial"/>
        </w:rPr>
        <w:t xml:space="preserve"> fatty acids and stearic acid versus linoleic acid on serum lipids and lipoprot</w:t>
      </w:r>
      <w:r w:rsidR="007E2015">
        <w:rPr>
          <w:rFonts w:cs="Arial"/>
        </w:rPr>
        <w:t>eins in humans. J Lipid Res 33:</w:t>
      </w:r>
      <w:r w:rsidRPr="00791F68">
        <w:rPr>
          <w:rFonts w:cs="Arial"/>
        </w:rPr>
        <w:t>399–</w:t>
      </w:r>
      <w:r w:rsidR="000C0778">
        <w:rPr>
          <w:rFonts w:cs="Arial"/>
        </w:rPr>
        <w:t>410</w:t>
      </w:r>
    </w:p>
    <w:p w14:paraId="70E1C62D" w14:textId="77777777" w:rsidR="00476903" w:rsidRDefault="00476903" w:rsidP="00476903">
      <w:pPr>
        <w:rPr>
          <w:lang w:eastAsia="en-AU"/>
        </w:rPr>
        <w:sectPr w:rsidR="00476903" w:rsidSect="00ED2CA6">
          <w:footerReference w:type="default" r:id="rId69"/>
          <w:pgSz w:w="11906" w:h="16838"/>
          <w:pgMar w:top="1418" w:right="1418" w:bottom="1418" w:left="1418" w:header="709" w:footer="709" w:gutter="0"/>
          <w:pgNumType w:start="1"/>
          <w:cols w:space="708"/>
          <w:docGrid w:linePitch="360"/>
        </w:sectPr>
      </w:pPr>
    </w:p>
    <w:p w14:paraId="207CAA4E" w14:textId="77777777" w:rsidR="00FA124D" w:rsidRDefault="00FA124D" w:rsidP="00C866DA">
      <w:pPr>
        <w:rPr>
          <w:sz w:val="18"/>
          <w:szCs w:val="18"/>
        </w:rPr>
      </w:pPr>
    </w:p>
    <w:p w14:paraId="29E368CC" w14:textId="72BCCA17" w:rsidR="009E409D" w:rsidRDefault="001C43A8" w:rsidP="00D43206">
      <w:pPr>
        <w:pStyle w:val="Heading1"/>
        <w:numPr>
          <w:ilvl w:val="0"/>
          <w:numId w:val="0"/>
        </w:numPr>
        <w:rPr>
          <w:lang w:eastAsia="en-AU"/>
        </w:rPr>
      </w:pPr>
      <w:bookmarkStart w:id="19" w:name="_Toc487100085"/>
      <w:r>
        <w:rPr>
          <w:lang w:eastAsia="en-AU"/>
        </w:rPr>
        <w:t xml:space="preserve">Appendix 1: </w:t>
      </w:r>
      <w:r w:rsidR="009E409D">
        <w:rPr>
          <w:lang w:eastAsia="en-AU"/>
        </w:rPr>
        <w:t>GRADE summary of findings table</w:t>
      </w:r>
      <w:bookmarkEnd w:id="19"/>
    </w:p>
    <w:p w14:paraId="143822F1" w14:textId="2282E159" w:rsidR="009E409D" w:rsidRPr="00791F68" w:rsidRDefault="009E409D" w:rsidP="009E409D">
      <w:r w:rsidRPr="00791F68">
        <w:t xml:space="preserve">Question: </w:t>
      </w:r>
      <w:r w:rsidR="001F2533" w:rsidRPr="00791F68">
        <w:t xml:space="preserve">Does increasing TFA intake </w:t>
      </w:r>
      <w:r w:rsidR="00D43206" w:rsidRPr="00791F68">
        <w:t>affect blood cholesterol concentrations</w:t>
      </w:r>
      <w:r w:rsidR="00FB231C" w:rsidRPr="00791F68">
        <w:t>?</w:t>
      </w:r>
      <w:r w:rsidR="00B351E0" w:rsidRPr="00791F68">
        <w:t xml:space="preserve">   </w:t>
      </w:r>
      <w:r w:rsidR="001F2533" w:rsidRPr="00791F68">
        <w:rPr>
          <w:i/>
        </w:rPr>
        <w:t>(</w:t>
      </w:r>
      <w:r w:rsidR="00FF7289" w:rsidRPr="00791F68">
        <w:rPr>
          <w:i/>
        </w:rPr>
        <w:t>Quantitative</w:t>
      </w:r>
      <w:r w:rsidR="00D43206" w:rsidRPr="00791F68">
        <w:rPr>
          <w:i/>
        </w:rPr>
        <w:t xml:space="preserve"> </w:t>
      </w:r>
      <w:r w:rsidR="001F2533" w:rsidRPr="00791F68">
        <w:rPr>
          <w:i/>
        </w:rPr>
        <w:t xml:space="preserve">results expressed per 1% increase in </w:t>
      </w:r>
      <w:r w:rsidR="001C43A8" w:rsidRPr="00791F68">
        <w:rPr>
          <w:i/>
        </w:rPr>
        <w:t xml:space="preserve">energy intake from </w:t>
      </w:r>
      <w:r w:rsidR="001F2533" w:rsidRPr="00791F68">
        <w:rPr>
          <w:i/>
        </w:rPr>
        <w:t>TFA in exchange for cis-monounsaturated fatty acids)</w:t>
      </w:r>
    </w:p>
    <w:p w14:paraId="27DD19E1" w14:textId="77777777" w:rsidR="00A33216" w:rsidRPr="00791F68" w:rsidRDefault="00A33216" w:rsidP="00D337ED">
      <w:pPr>
        <w:rPr>
          <w:sz w:val="16"/>
          <w:szCs w:val="16"/>
        </w:rPr>
      </w:pPr>
    </w:p>
    <w:tbl>
      <w:tblPr>
        <w:tblStyle w:val="TableGrid"/>
        <w:tblpPr w:leftFromText="180" w:rightFromText="180" w:vertAnchor="page" w:horzAnchor="margin" w:tblpY="3256"/>
        <w:tblW w:w="0" w:type="auto"/>
        <w:tblLayout w:type="fixed"/>
        <w:tblLook w:val="04A0" w:firstRow="1" w:lastRow="0" w:firstColumn="1" w:lastColumn="0" w:noHBand="0" w:noVBand="1"/>
        <w:tblDescription w:val="Table giving the GRADE summary of findings from the systematic review.  Information includes number of studies, design, risk of bias, inconsistency, indirectness, imprecision, considerations, participants,  mean effect estimate (LDL-C, HDL-C, total-C) and quality of the rating (10 columns)."/>
      </w:tblPr>
      <w:tblGrid>
        <w:gridCol w:w="1384"/>
        <w:gridCol w:w="851"/>
        <w:gridCol w:w="992"/>
        <w:gridCol w:w="1417"/>
        <w:gridCol w:w="1418"/>
        <w:gridCol w:w="1276"/>
        <w:gridCol w:w="2126"/>
        <w:gridCol w:w="1276"/>
        <w:gridCol w:w="1988"/>
        <w:gridCol w:w="1434"/>
      </w:tblGrid>
      <w:tr w:rsidR="00791F68" w:rsidRPr="00791F68" w14:paraId="1B9CBAC6" w14:textId="77777777" w:rsidTr="00FF7289">
        <w:trPr>
          <w:tblHeader/>
        </w:trPr>
        <w:tc>
          <w:tcPr>
            <w:tcW w:w="9464" w:type="dxa"/>
            <w:gridSpan w:val="7"/>
            <w:vAlign w:val="center"/>
          </w:tcPr>
          <w:p w14:paraId="64C5B9B2" w14:textId="77777777" w:rsidR="00FF7289" w:rsidRPr="00791F68" w:rsidRDefault="00FF7289" w:rsidP="00FF7289">
            <w:pPr>
              <w:jc w:val="center"/>
              <w:rPr>
                <w:b/>
                <w:sz w:val="18"/>
                <w:szCs w:val="18"/>
              </w:rPr>
            </w:pPr>
            <w:r w:rsidRPr="00791F68">
              <w:rPr>
                <w:b/>
                <w:sz w:val="18"/>
                <w:szCs w:val="18"/>
              </w:rPr>
              <w:t>Quality assessment of body of evidence</w:t>
            </w:r>
          </w:p>
        </w:tc>
        <w:tc>
          <w:tcPr>
            <w:tcW w:w="1276" w:type="dxa"/>
            <w:tcBorders>
              <w:bottom w:val="nil"/>
            </w:tcBorders>
            <w:vAlign w:val="center"/>
          </w:tcPr>
          <w:p w14:paraId="1071DBE0" w14:textId="77777777" w:rsidR="00FF7289" w:rsidRPr="00791F68" w:rsidRDefault="00FF7289" w:rsidP="00FF7289">
            <w:pPr>
              <w:jc w:val="center"/>
              <w:rPr>
                <w:b/>
                <w:sz w:val="18"/>
                <w:szCs w:val="18"/>
              </w:rPr>
            </w:pPr>
          </w:p>
        </w:tc>
        <w:tc>
          <w:tcPr>
            <w:tcW w:w="1988" w:type="dxa"/>
            <w:vMerge w:val="restart"/>
            <w:vAlign w:val="center"/>
          </w:tcPr>
          <w:p w14:paraId="7B0CDDAA" w14:textId="77777777" w:rsidR="00FF7289" w:rsidRPr="00791F68" w:rsidRDefault="00FF7289" w:rsidP="00FF7289">
            <w:pPr>
              <w:jc w:val="center"/>
              <w:rPr>
                <w:b/>
                <w:sz w:val="18"/>
                <w:szCs w:val="18"/>
              </w:rPr>
            </w:pPr>
            <w:r w:rsidRPr="00791F68">
              <w:rPr>
                <w:b/>
                <w:sz w:val="18"/>
                <w:szCs w:val="18"/>
              </w:rPr>
              <w:t xml:space="preserve">Mean effect estimate </w:t>
            </w:r>
          </w:p>
          <w:p w14:paraId="37A0B2ED" w14:textId="77777777" w:rsidR="00FF7289" w:rsidRPr="00791F68" w:rsidRDefault="00FF7289" w:rsidP="00FF7289">
            <w:pPr>
              <w:jc w:val="center"/>
              <w:rPr>
                <w:b/>
                <w:sz w:val="18"/>
                <w:szCs w:val="18"/>
              </w:rPr>
            </w:pPr>
            <w:r w:rsidRPr="00791F68">
              <w:rPr>
                <w:b/>
                <w:sz w:val="18"/>
                <w:szCs w:val="18"/>
              </w:rPr>
              <w:t>(</w:t>
            </w:r>
            <w:proofErr w:type="spellStart"/>
            <w:r w:rsidRPr="00791F68">
              <w:rPr>
                <w:b/>
                <w:sz w:val="18"/>
                <w:szCs w:val="18"/>
              </w:rPr>
              <w:t>mmol</w:t>
            </w:r>
            <w:proofErr w:type="spellEnd"/>
            <w:r w:rsidRPr="00791F68">
              <w:rPr>
                <w:b/>
                <w:sz w:val="18"/>
                <w:szCs w:val="18"/>
              </w:rPr>
              <w:t>/L)</w:t>
            </w:r>
          </w:p>
          <w:p w14:paraId="2AFD04CB" w14:textId="77777777" w:rsidR="00FF7289" w:rsidRPr="00791F68" w:rsidRDefault="00FF7289" w:rsidP="00FF7289">
            <w:pPr>
              <w:jc w:val="center"/>
              <w:rPr>
                <w:b/>
                <w:sz w:val="18"/>
                <w:szCs w:val="18"/>
              </w:rPr>
            </w:pPr>
            <w:r w:rsidRPr="00791F68">
              <w:rPr>
                <w:b/>
                <w:sz w:val="18"/>
                <w:szCs w:val="18"/>
              </w:rPr>
              <w:t xml:space="preserve"> (95% CI)</w:t>
            </w:r>
          </w:p>
        </w:tc>
        <w:tc>
          <w:tcPr>
            <w:tcW w:w="1434" w:type="dxa"/>
            <w:vMerge w:val="restart"/>
            <w:vAlign w:val="center"/>
          </w:tcPr>
          <w:p w14:paraId="47AD994A" w14:textId="272D4CF0" w:rsidR="00FF7289" w:rsidRPr="00791F68" w:rsidRDefault="00FF7289" w:rsidP="00FF7289">
            <w:pPr>
              <w:jc w:val="center"/>
              <w:rPr>
                <w:b/>
                <w:sz w:val="18"/>
                <w:szCs w:val="18"/>
              </w:rPr>
            </w:pPr>
            <w:r w:rsidRPr="00791F68">
              <w:rPr>
                <w:b/>
                <w:sz w:val="18"/>
                <w:szCs w:val="18"/>
              </w:rPr>
              <w:t>Quality</w:t>
            </w:r>
            <w:r w:rsidR="00097893" w:rsidRPr="00097893">
              <w:rPr>
                <w:b/>
                <w:sz w:val="18"/>
                <w:szCs w:val="18"/>
                <w:vertAlign w:val="superscript"/>
              </w:rPr>
              <w:t>1</w:t>
            </w:r>
          </w:p>
          <w:p w14:paraId="69DE98E7" w14:textId="77777777" w:rsidR="00FF7289" w:rsidRPr="00791F68" w:rsidRDefault="00FF7289" w:rsidP="00FF7289">
            <w:pPr>
              <w:jc w:val="center"/>
              <w:rPr>
                <w:b/>
                <w:sz w:val="18"/>
                <w:szCs w:val="18"/>
              </w:rPr>
            </w:pPr>
            <w:r w:rsidRPr="00791F68">
              <w:rPr>
                <w:b/>
                <w:sz w:val="18"/>
                <w:szCs w:val="18"/>
              </w:rPr>
              <w:t>(degree of certainty in relationship)</w:t>
            </w:r>
          </w:p>
        </w:tc>
      </w:tr>
      <w:tr w:rsidR="00791F68" w:rsidRPr="00791F68" w14:paraId="725D9EF3" w14:textId="77777777" w:rsidTr="00FF7289">
        <w:trPr>
          <w:trHeight w:val="569"/>
          <w:tblHeader/>
        </w:trPr>
        <w:tc>
          <w:tcPr>
            <w:tcW w:w="1384" w:type="dxa"/>
            <w:vAlign w:val="center"/>
          </w:tcPr>
          <w:p w14:paraId="66B60423" w14:textId="77777777" w:rsidR="00FF7289" w:rsidRPr="00791F68" w:rsidRDefault="00FF7289" w:rsidP="00FF7289">
            <w:pPr>
              <w:jc w:val="center"/>
              <w:rPr>
                <w:b/>
                <w:sz w:val="18"/>
                <w:szCs w:val="18"/>
              </w:rPr>
            </w:pPr>
            <w:r w:rsidRPr="00791F68">
              <w:rPr>
                <w:b/>
                <w:sz w:val="18"/>
                <w:szCs w:val="18"/>
              </w:rPr>
              <w:t>Number of studies</w:t>
            </w:r>
          </w:p>
        </w:tc>
        <w:tc>
          <w:tcPr>
            <w:tcW w:w="851" w:type="dxa"/>
            <w:vAlign w:val="center"/>
          </w:tcPr>
          <w:p w14:paraId="6FC9941E" w14:textId="77777777" w:rsidR="00FF7289" w:rsidRPr="00791F68" w:rsidRDefault="00FF7289" w:rsidP="00FF7289">
            <w:pPr>
              <w:jc w:val="center"/>
              <w:rPr>
                <w:b/>
                <w:sz w:val="18"/>
                <w:szCs w:val="18"/>
              </w:rPr>
            </w:pPr>
            <w:r w:rsidRPr="00791F68">
              <w:rPr>
                <w:b/>
                <w:sz w:val="18"/>
                <w:szCs w:val="18"/>
              </w:rPr>
              <w:t>Design</w:t>
            </w:r>
          </w:p>
        </w:tc>
        <w:tc>
          <w:tcPr>
            <w:tcW w:w="992" w:type="dxa"/>
            <w:vAlign w:val="center"/>
          </w:tcPr>
          <w:p w14:paraId="23444833" w14:textId="77777777" w:rsidR="00FF7289" w:rsidRPr="00791F68" w:rsidRDefault="00FF7289" w:rsidP="00FF7289">
            <w:pPr>
              <w:jc w:val="center"/>
              <w:rPr>
                <w:b/>
                <w:sz w:val="18"/>
                <w:szCs w:val="18"/>
              </w:rPr>
            </w:pPr>
            <w:r w:rsidRPr="00791F68">
              <w:rPr>
                <w:b/>
                <w:sz w:val="18"/>
                <w:szCs w:val="18"/>
              </w:rPr>
              <w:t>Risk of bias</w:t>
            </w:r>
          </w:p>
        </w:tc>
        <w:tc>
          <w:tcPr>
            <w:tcW w:w="1417" w:type="dxa"/>
            <w:vAlign w:val="center"/>
          </w:tcPr>
          <w:p w14:paraId="0D928567" w14:textId="77777777" w:rsidR="00FF7289" w:rsidRPr="00791F68" w:rsidRDefault="00FF7289" w:rsidP="00FF7289">
            <w:pPr>
              <w:jc w:val="center"/>
              <w:rPr>
                <w:b/>
                <w:sz w:val="18"/>
                <w:szCs w:val="18"/>
              </w:rPr>
            </w:pPr>
            <w:r w:rsidRPr="00791F68">
              <w:rPr>
                <w:b/>
                <w:sz w:val="18"/>
                <w:szCs w:val="18"/>
              </w:rPr>
              <w:t>Inconsistency</w:t>
            </w:r>
          </w:p>
        </w:tc>
        <w:tc>
          <w:tcPr>
            <w:tcW w:w="1418" w:type="dxa"/>
            <w:vAlign w:val="center"/>
          </w:tcPr>
          <w:p w14:paraId="49146EB9" w14:textId="77777777" w:rsidR="00FF7289" w:rsidRPr="00791F68" w:rsidRDefault="00FF7289" w:rsidP="00FF7289">
            <w:pPr>
              <w:jc w:val="center"/>
              <w:rPr>
                <w:b/>
                <w:sz w:val="18"/>
                <w:szCs w:val="18"/>
              </w:rPr>
            </w:pPr>
            <w:r w:rsidRPr="00791F68">
              <w:rPr>
                <w:b/>
                <w:sz w:val="18"/>
                <w:szCs w:val="18"/>
              </w:rPr>
              <w:t>Indirectness</w:t>
            </w:r>
          </w:p>
        </w:tc>
        <w:tc>
          <w:tcPr>
            <w:tcW w:w="1276" w:type="dxa"/>
            <w:vAlign w:val="center"/>
          </w:tcPr>
          <w:p w14:paraId="2FE892CA" w14:textId="77777777" w:rsidR="00FF7289" w:rsidRPr="00791F68" w:rsidRDefault="00FF7289" w:rsidP="00FF7289">
            <w:pPr>
              <w:jc w:val="center"/>
              <w:rPr>
                <w:b/>
                <w:sz w:val="18"/>
                <w:szCs w:val="18"/>
              </w:rPr>
            </w:pPr>
            <w:r w:rsidRPr="00791F68">
              <w:rPr>
                <w:b/>
                <w:sz w:val="18"/>
                <w:szCs w:val="18"/>
              </w:rPr>
              <w:t>Imprecision</w:t>
            </w:r>
          </w:p>
        </w:tc>
        <w:tc>
          <w:tcPr>
            <w:tcW w:w="2126" w:type="dxa"/>
            <w:vAlign w:val="center"/>
          </w:tcPr>
          <w:p w14:paraId="08541239" w14:textId="77777777" w:rsidR="00FF7289" w:rsidRPr="00791F68" w:rsidRDefault="00FF7289" w:rsidP="00FF7289">
            <w:pPr>
              <w:jc w:val="center"/>
              <w:rPr>
                <w:b/>
                <w:sz w:val="18"/>
                <w:szCs w:val="18"/>
              </w:rPr>
            </w:pPr>
            <w:r w:rsidRPr="00791F68">
              <w:rPr>
                <w:b/>
                <w:sz w:val="18"/>
                <w:szCs w:val="18"/>
              </w:rPr>
              <w:t>Considerations</w:t>
            </w:r>
          </w:p>
        </w:tc>
        <w:tc>
          <w:tcPr>
            <w:tcW w:w="1276" w:type="dxa"/>
            <w:tcBorders>
              <w:top w:val="nil"/>
            </w:tcBorders>
            <w:vAlign w:val="center"/>
          </w:tcPr>
          <w:p w14:paraId="1C4BC916" w14:textId="77777777" w:rsidR="00FF7289" w:rsidRPr="00791F68" w:rsidRDefault="00FF7289" w:rsidP="00FF7289">
            <w:pPr>
              <w:jc w:val="center"/>
              <w:rPr>
                <w:b/>
                <w:sz w:val="18"/>
                <w:szCs w:val="18"/>
              </w:rPr>
            </w:pPr>
            <w:r w:rsidRPr="00791F68">
              <w:rPr>
                <w:b/>
                <w:sz w:val="18"/>
                <w:szCs w:val="18"/>
              </w:rPr>
              <w:t>Participants</w:t>
            </w:r>
          </w:p>
        </w:tc>
        <w:tc>
          <w:tcPr>
            <w:tcW w:w="1988" w:type="dxa"/>
            <w:vMerge/>
            <w:vAlign w:val="center"/>
          </w:tcPr>
          <w:p w14:paraId="226E0332" w14:textId="77777777" w:rsidR="00FF7289" w:rsidRPr="00791F68" w:rsidRDefault="00FF7289" w:rsidP="00FF7289">
            <w:pPr>
              <w:jc w:val="center"/>
              <w:rPr>
                <w:b/>
                <w:sz w:val="18"/>
                <w:szCs w:val="18"/>
              </w:rPr>
            </w:pPr>
          </w:p>
        </w:tc>
        <w:tc>
          <w:tcPr>
            <w:tcW w:w="1434" w:type="dxa"/>
            <w:vMerge/>
            <w:vAlign w:val="center"/>
          </w:tcPr>
          <w:p w14:paraId="717D6376" w14:textId="77777777" w:rsidR="00FF7289" w:rsidRPr="00791F68" w:rsidRDefault="00FF7289" w:rsidP="00FF7289">
            <w:pPr>
              <w:jc w:val="center"/>
              <w:rPr>
                <w:sz w:val="18"/>
                <w:szCs w:val="18"/>
              </w:rPr>
            </w:pPr>
          </w:p>
        </w:tc>
      </w:tr>
      <w:tr w:rsidR="00791F68" w:rsidRPr="00791F68" w14:paraId="1A43EF79" w14:textId="77777777" w:rsidTr="00FF7289">
        <w:trPr>
          <w:trHeight w:val="274"/>
        </w:trPr>
        <w:tc>
          <w:tcPr>
            <w:tcW w:w="14162" w:type="dxa"/>
            <w:gridSpan w:val="10"/>
            <w:shd w:val="clear" w:color="auto" w:fill="F2F2F2" w:themeFill="background1" w:themeFillShade="F2"/>
            <w:vAlign w:val="center"/>
          </w:tcPr>
          <w:p w14:paraId="0CA7BE80" w14:textId="2BEA06AF" w:rsidR="00FF7289" w:rsidRPr="00791F68" w:rsidRDefault="00F3351A" w:rsidP="00097893">
            <w:pPr>
              <w:rPr>
                <w:b/>
                <w:sz w:val="18"/>
                <w:szCs w:val="18"/>
              </w:rPr>
            </w:pPr>
            <w:r w:rsidRPr="00791F68">
              <w:rPr>
                <w:b/>
                <w:sz w:val="18"/>
                <w:szCs w:val="18"/>
              </w:rPr>
              <w:t xml:space="preserve">Increase in </w:t>
            </w:r>
            <w:r w:rsidR="00FF7289" w:rsidRPr="00791F68">
              <w:rPr>
                <w:b/>
                <w:sz w:val="18"/>
                <w:szCs w:val="18"/>
              </w:rPr>
              <w:t>LDL-cholesterol</w:t>
            </w:r>
            <w:r w:rsidR="00097893">
              <w:rPr>
                <w:b/>
                <w:sz w:val="18"/>
                <w:szCs w:val="18"/>
                <w:vertAlign w:val="superscript"/>
              </w:rPr>
              <w:t>2</w:t>
            </w:r>
          </w:p>
        </w:tc>
      </w:tr>
      <w:tr w:rsidR="00791F68" w:rsidRPr="00791F68" w14:paraId="54181DAD" w14:textId="77777777" w:rsidTr="00FF7289">
        <w:trPr>
          <w:trHeight w:val="274"/>
        </w:trPr>
        <w:tc>
          <w:tcPr>
            <w:tcW w:w="1384" w:type="dxa"/>
            <w:vAlign w:val="center"/>
          </w:tcPr>
          <w:p w14:paraId="3B46A68F" w14:textId="77777777" w:rsidR="00FF7289" w:rsidRPr="00791F68" w:rsidRDefault="00FF7289" w:rsidP="00FF7289">
            <w:pPr>
              <w:jc w:val="center"/>
              <w:rPr>
                <w:sz w:val="18"/>
                <w:szCs w:val="18"/>
              </w:rPr>
            </w:pPr>
            <w:r w:rsidRPr="00791F68">
              <w:rPr>
                <w:sz w:val="18"/>
                <w:szCs w:val="18"/>
              </w:rPr>
              <w:t>9 studies added to 1 existing meta-analysis</w:t>
            </w:r>
          </w:p>
        </w:tc>
        <w:tc>
          <w:tcPr>
            <w:tcW w:w="851" w:type="dxa"/>
            <w:vAlign w:val="center"/>
          </w:tcPr>
          <w:p w14:paraId="20709F3B" w14:textId="77777777" w:rsidR="00FF7289" w:rsidRPr="00791F68" w:rsidRDefault="00FF7289" w:rsidP="00FF7289">
            <w:pPr>
              <w:jc w:val="center"/>
              <w:rPr>
                <w:sz w:val="18"/>
                <w:szCs w:val="18"/>
              </w:rPr>
            </w:pPr>
            <w:r w:rsidRPr="00791F68">
              <w:rPr>
                <w:sz w:val="18"/>
                <w:szCs w:val="18"/>
              </w:rPr>
              <w:t>RCTs</w:t>
            </w:r>
          </w:p>
        </w:tc>
        <w:tc>
          <w:tcPr>
            <w:tcW w:w="992" w:type="dxa"/>
            <w:vAlign w:val="center"/>
          </w:tcPr>
          <w:p w14:paraId="1B9967C3" w14:textId="77777777" w:rsidR="00FF7289" w:rsidRPr="00791F68" w:rsidRDefault="00FF7289" w:rsidP="00FF7289">
            <w:pPr>
              <w:jc w:val="center"/>
              <w:rPr>
                <w:sz w:val="18"/>
                <w:szCs w:val="18"/>
              </w:rPr>
            </w:pPr>
            <w:r w:rsidRPr="00791F68">
              <w:rPr>
                <w:sz w:val="18"/>
                <w:szCs w:val="18"/>
              </w:rPr>
              <w:t>low</w:t>
            </w:r>
          </w:p>
        </w:tc>
        <w:tc>
          <w:tcPr>
            <w:tcW w:w="1417" w:type="dxa"/>
            <w:vAlign w:val="center"/>
          </w:tcPr>
          <w:p w14:paraId="672E68B2" w14:textId="7865F8EE" w:rsidR="00FF7289" w:rsidRPr="00791F68" w:rsidRDefault="001900E1" w:rsidP="009F1EDD">
            <w:pPr>
              <w:jc w:val="center"/>
              <w:rPr>
                <w:sz w:val="18"/>
                <w:szCs w:val="18"/>
              </w:rPr>
            </w:pPr>
            <w:r w:rsidRPr="00791F68">
              <w:rPr>
                <w:sz w:val="18"/>
                <w:szCs w:val="18"/>
              </w:rPr>
              <w:t>s</w:t>
            </w:r>
            <w:r w:rsidR="00BC6925" w:rsidRPr="00791F68">
              <w:rPr>
                <w:sz w:val="18"/>
                <w:szCs w:val="18"/>
              </w:rPr>
              <w:t>ome</w:t>
            </w:r>
            <w:r w:rsidRPr="00791F68">
              <w:rPr>
                <w:sz w:val="18"/>
                <w:szCs w:val="18"/>
              </w:rPr>
              <w:t>#</w:t>
            </w:r>
          </w:p>
        </w:tc>
        <w:tc>
          <w:tcPr>
            <w:tcW w:w="1418" w:type="dxa"/>
            <w:vAlign w:val="center"/>
          </w:tcPr>
          <w:p w14:paraId="7A737217" w14:textId="7BED54F1" w:rsidR="00FF7289" w:rsidRPr="00791F68" w:rsidRDefault="009F1EDD" w:rsidP="000623CF">
            <w:pPr>
              <w:jc w:val="center"/>
              <w:rPr>
                <w:sz w:val="18"/>
                <w:szCs w:val="18"/>
              </w:rPr>
            </w:pPr>
            <w:r w:rsidRPr="00791F68">
              <w:rPr>
                <w:sz w:val="18"/>
                <w:szCs w:val="18"/>
              </w:rPr>
              <w:t>n</w:t>
            </w:r>
            <w:r w:rsidR="00FF7289" w:rsidRPr="00791F68">
              <w:rPr>
                <w:sz w:val="18"/>
                <w:szCs w:val="18"/>
              </w:rPr>
              <w:t>one</w:t>
            </w:r>
          </w:p>
        </w:tc>
        <w:tc>
          <w:tcPr>
            <w:tcW w:w="1276" w:type="dxa"/>
            <w:vAlign w:val="center"/>
          </w:tcPr>
          <w:p w14:paraId="39ECDF1B" w14:textId="0065CE8F" w:rsidR="00FF7289" w:rsidRPr="00791F68" w:rsidRDefault="000623CF" w:rsidP="00FF7289">
            <w:pPr>
              <w:jc w:val="center"/>
              <w:rPr>
                <w:sz w:val="18"/>
                <w:szCs w:val="18"/>
              </w:rPr>
            </w:pPr>
            <w:r w:rsidRPr="00791F68">
              <w:rPr>
                <w:sz w:val="18"/>
                <w:szCs w:val="18"/>
              </w:rPr>
              <w:t>n</w:t>
            </w:r>
            <w:r w:rsidR="00FF7289" w:rsidRPr="00791F68">
              <w:rPr>
                <w:sz w:val="18"/>
                <w:szCs w:val="18"/>
              </w:rPr>
              <w:t>one</w:t>
            </w:r>
          </w:p>
        </w:tc>
        <w:tc>
          <w:tcPr>
            <w:tcW w:w="2126" w:type="dxa"/>
            <w:vAlign w:val="center"/>
          </w:tcPr>
          <w:p w14:paraId="4F37E74C" w14:textId="75860072" w:rsidR="00FF7289" w:rsidRPr="00791F68" w:rsidRDefault="00FF7289" w:rsidP="00AC777A">
            <w:pPr>
              <w:jc w:val="center"/>
              <w:rPr>
                <w:sz w:val="18"/>
                <w:szCs w:val="18"/>
              </w:rPr>
            </w:pPr>
            <w:r w:rsidRPr="00791F68">
              <w:rPr>
                <w:sz w:val="18"/>
                <w:szCs w:val="18"/>
              </w:rPr>
              <w:t>Dose-response relationship</w:t>
            </w:r>
          </w:p>
        </w:tc>
        <w:tc>
          <w:tcPr>
            <w:tcW w:w="1276" w:type="dxa"/>
            <w:vAlign w:val="center"/>
          </w:tcPr>
          <w:p w14:paraId="2EB13C4E" w14:textId="77777777" w:rsidR="00FF7289" w:rsidRPr="00791F68" w:rsidRDefault="00FF7289" w:rsidP="00FF7289">
            <w:pPr>
              <w:jc w:val="center"/>
              <w:rPr>
                <w:sz w:val="18"/>
                <w:szCs w:val="18"/>
              </w:rPr>
            </w:pPr>
            <w:r w:rsidRPr="00791F68">
              <w:rPr>
                <w:sz w:val="18"/>
                <w:szCs w:val="18"/>
              </w:rPr>
              <w:t>2218</w:t>
            </w:r>
          </w:p>
        </w:tc>
        <w:tc>
          <w:tcPr>
            <w:tcW w:w="1988" w:type="dxa"/>
            <w:vAlign w:val="center"/>
          </w:tcPr>
          <w:p w14:paraId="6063532D" w14:textId="77777777" w:rsidR="00FF7289" w:rsidRPr="00791F68" w:rsidRDefault="00FF7289" w:rsidP="00FF7289">
            <w:pPr>
              <w:jc w:val="center"/>
              <w:rPr>
                <w:sz w:val="18"/>
                <w:szCs w:val="18"/>
              </w:rPr>
            </w:pPr>
            <w:r w:rsidRPr="00791F68">
              <w:rPr>
                <w:sz w:val="18"/>
                <w:szCs w:val="18"/>
              </w:rPr>
              <w:t>+0.04</w:t>
            </w:r>
          </w:p>
          <w:p w14:paraId="5D7AD331" w14:textId="77777777" w:rsidR="00FF7289" w:rsidRPr="00791F68" w:rsidRDefault="00FF7289" w:rsidP="00FF7289">
            <w:pPr>
              <w:jc w:val="center"/>
              <w:rPr>
                <w:sz w:val="18"/>
                <w:szCs w:val="18"/>
              </w:rPr>
            </w:pPr>
            <w:r w:rsidRPr="00791F68">
              <w:rPr>
                <w:sz w:val="18"/>
                <w:szCs w:val="18"/>
              </w:rPr>
              <w:t>(+0.03, +0.06)</w:t>
            </w:r>
          </w:p>
        </w:tc>
        <w:tc>
          <w:tcPr>
            <w:tcW w:w="1434" w:type="dxa"/>
            <w:vAlign w:val="center"/>
          </w:tcPr>
          <w:p w14:paraId="4C04E394" w14:textId="77777777" w:rsidR="00FF7289" w:rsidRPr="00791F68" w:rsidRDefault="00FF7289" w:rsidP="00FF7289">
            <w:pPr>
              <w:jc w:val="center"/>
              <w:rPr>
                <w:sz w:val="18"/>
                <w:szCs w:val="18"/>
              </w:rPr>
            </w:pPr>
            <w:r w:rsidRPr="00791F68">
              <w:rPr>
                <w:sz w:val="18"/>
                <w:szCs w:val="18"/>
              </w:rPr>
              <w:sym w:font="Symbol" w:char="F0C5"/>
            </w:r>
            <w:r w:rsidRPr="00791F68">
              <w:rPr>
                <w:sz w:val="18"/>
                <w:szCs w:val="18"/>
              </w:rPr>
              <w:sym w:font="Symbol" w:char="F0C5"/>
            </w:r>
            <w:r w:rsidRPr="00791F68">
              <w:rPr>
                <w:sz w:val="18"/>
                <w:szCs w:val="18"/>
              </w:rPr>
              <w:sym w:font="Symbol" w:char="F0C5"/>
            </w:r>
            <w:r w:rsidRPr="00791F68">
              <w:rPr>
                <w:sz w:val="18"/>
                <w:szCs w:val="18"/>
              </w:rPr>
              <w:sym w:font="Symbol" w:char="F0C5"/>
            </w:r>
          </w:p>
          <w:p w14:paraId="729B8A5E" w14:textId="77777777" w:rsidR="00FF7289" w:rsidRPr="00791F68" w:rsidRDefault="00FF7289" w:rsidP="00FF7289">
            <w:pPr>
              <w:jc w:val="center"/>
              <w:rPr>
                <w:sz w:val="18"/>
                <w:szCs w:val="18"/>
              </w:rPr>
            </w:pPr>
            <w:r w:rsidRPr="00791F68">
              <w:rPr>
                <w:sz w:val="18"/>
                <w:szCs w:val="18"/>
              </w:rPr>
              <w:t>High</w:t>
            </w:r>
          </w:p>
        </w:tc>
      </w:tr>
      <w:tr w:rsidR="00791F68" w:rsidRPr="00791F68" w14:paraId="31B0DC55" w14:textId="77777777" w:rsidTr="00FF7289">
        <w:trPr>
          <w:trHeight w:val="274"/>
        </w:trPr>
        <w:tc>
          <w:tcPr>
            <w:tcW w:w="14162" w:type="dxa"/>
            <w:gridSpan w:val="10"/>
            <w:shd w:val="clear" w:color="auto" w:fill="F2F2F2" w:themeFill="background1" w:themeFillShade="F2"/>
            <w:vAlign w:val="center"/>
          </w:tcPr>
          <w:p w14:paraId="3C37547C" w14:textId="69D430DB" w:rsidR="00FF7289" w:rsidRPr="00791F68" w:rsidRDefault="00F3351A" w:rsidP="00FF7289">
            <w:pPr>
              <w:rPr>
                <w:b/>
                <w:sz w:val="18"/>
                <w:szCs w:val="18"/>
              </w:rPr>
            </w:pPr>
            <w:r w:rsidRPr="00791F68">
              <w:rPr>
                <w:b/>
                <w:sz w:val="18"/>
                <w:szCs w:val="18"/>
              </w:rPr>
              <w:t xml:space="preserve">Reduction in </w:t>
            </w:r>
            <w:r w:rsidR="00FF7289" w:rsidRPr="00791F68">
              <w:rPr>
                <w:b/>
                <w:sz w:val="18"/>
                <w:szCs w:val="18"/>
              </w:rPr>
              <w:t>HDL-cholesterol</w:t>
            </w:r>
            <w:r w:rsidR="00097893">
              <w:rPr>
                <w:b/>
                <w:sz w:val="18"/>
                <w:szCs w:val="18"/>
                <w:vertAlign w:val="superscript"/>
              </w:rPr>
              <w:t>3</w:t>
            </w:r>
          </w:p>
        </w:tc>
      </w:tr>
      <w:tr w:rsidR="00791F68" w:rsidRPr="00791F68" w14:paraId="1FC19817" w14:textId="77777777" w:rsidTr="00FF7289">
        <w:trPr>
          <w:trHeight w:val="274"/>
        </w:trPr>
        <w:tc>
          <w:tcPr>
            <w:tcW w:w="1384" w:type="dxa"/>
            <w:vAlign w:val="center"/>
          </w:tcPr>
          <w:p w14:paraId="69018710" w14:textId="26BE8C5A" w:rsidR="00FF7289" w:rsidRPr="00791F68" w:rsidRDefault="00B10699" w:rsidP="00FF7289">
            <w:pPr>
              <w:jc w:val="center"/>
              <w:rPr>
                <w:sz w:val="18"/>
                <w:szCs w:val="18"/>
              </w:rPr>
            </w:pPr>
            <w:r w:rsidRPr="00791F68">
              <w:rPr>
                <w:sz w:val="18"/>
                <w:szCs w:val="18"/>
              </w:rPr>
              <w:t>9</w:t>
            </w:r>
            <w:r w:rsidR="00FF7289" w:rsidRPr="00791F68">
              <w:rPr>
                <w:sz w:val="18"/>
                <w:szCs w:val="18"/>
              </w:rPr>
              <w:t xml:space="preserve"> studies added to 1 existing meta-analysis </w:t>
            </w:r>
          </w:p>
        </w:tc>
        <w:tc>
          <w:tcPr>
            <w:tcW w:w="851" w:type="dxa"/>
            <w:vAlign w:val="center"/>
          </w:tcPr>
          <w:p w14:paraId="7AA75703" w14:textId="77777777" w:rsidR="00FF7289" w:rsidRPr="00791F68" w:rsidRDefault="00FF7289" w:rsidP="00FF7289">
            <w:pPr>
              <w:jc w:val="center"/>
              <w:rPr>
                <w:sz w:val="18"/>
                <w:szCs w:val="18"/>
              </w:rPr>
            </w:pPr>
            <w:r w:rsidRPr="00791F68">
              <w:rPr>
                <w:sz w:val="18"/>
                <w:szCs w:val="18"/>
              </w:rPr>
              <w:t>RCTs</w:t>
            </w:r>
          </w:p>
        </w:tc>
        <w:tc>
          <w:tcPr>
            <w:tcW w:w="992" w:type="dxa"/>
            <w:vAlign w:val="center"/>
          </w:tcPr>
          <w:p w14:paraId="00C20501" w14:textId="77777777" w:rsidR="00FF7289" w:rsidRPr="00791F68" w:rsidRDefault="00FF7289" w:rsidP="00FF7289">
            <w:pPr>
              <w:jc w:val="center"/>
              <w:rPr>
                <w:sz w:val="18"/>
                <w:szCs w:val="18"/>
              </w:rPr>
            </w:pPr>
            <w:r w:rsidRPr="00791F68">
              <w:rPr>
                <w:sz w:val="18"/>
                <w:szCs w:val="18"/>
              </w:rPr>
              <w:t>low</w:t>
            </w:r>
          </w:p>
        </w:tc>
        <w:tc>
          <w:tcPr>
            <w:tcW w:w="1417" w:type="dxa"/>
            <w:vAlign w:val="center"/>
          </w:tcPr>
          <w:p w14:paraId="2E46B508" w14:textId="0E76D714" w:rsidR="00FF7289" w:rsidRPr="00791F68" w:rsidRDefault="001900E1" w:rsidP="00F7114A">
            <w:pPr>
              <w:jc w:val="center"/>
              <w:rPr>
                <w:sz w:val="18"/>
                <w:szCs w:val="18"/>
              </w:rPr>
            </w:pPr>
            <w:r w:rsidRPr="00791F68">
              <w:rPr>
                <w:sz w:val="18"/>
                <w:szCs w:val="18"/>
              </w:rPr>
              <w:t>s</w:t>
            </w:r>
            <w:r w:rsidR="00F7114A" w:rsidRPr="00791F68">
              <w:rPr>
                <w:sz w:val="18"/>
                <w:szCs w:val="18"/>
              </w:rPr>
              <w:t>ome</w:t>
            </w:r>
            <w:r w:rsidRPr="00791F68">
              <w:rPr>
                <w:sz w:val="18"/>
                <w:szCs w:val="18"/>
              </w:rPr>
              <w:t>#</w:t>
            </w:r>
          </w:p>
        </w:tc>
        <w:tc>
          <w:tcPr>
            <w:tcW w:w="1418" w:type="dxa"/>
            <w:vAlign w:val="center"/>
          </w:tcPr>
          <w:p w14:paraId="699BBA30" w14:textId="5AE0A5CC" w:rsidR="00FF7289" w:rsidRPr="00791F68" w:rsidRDefault="009F1EDD" w:rsidP="00FF7289">
            <w:pPr>
              <w:jc w:val="center"/>
              <w:rPr>
                <w:sz w:val="18"/>
                <w:szCs w:val="18"/>
              </w:rPr>
            </w:pPr>
            <w:r w:rsidRPr="00791F68">
              <w:rPr>
                <w:sz w:val="18"/>
                <w:szCs w:val="18"/>
              </w:rPr>
              <w:t>n</w:t>
            </w:r>
            <w:r w:rsidR="00FF7289" w:rsidRPr="00791F68">
              <w:rPr>
                <w:sz w:val="18"/>
                <w:szCs w:val="18"/>
              </w:rPr>
              <w:t>one</w:t>
            </w:r>
          </w:p>
        </w:tc>
        <w:tc>
          <w:tcPr>
            <w:tcW w:w="1276" w:type="dxa"/>
            <w:vAlign w:val="center"/>
          </w:tcPr>
          <w:p w14:paraId="1642B751" w14:textId="63C4F3F3" w:rsidR="00FF7289" w:rsidRPr="00791F68" w:rsidRDefault="00B10699" w:rsidP="00F7114A">
            <w:pPr>
              <w:jc w:val="center"/>
              <w:rPr>
                <w:sz w:val="18"/>
                <w:szCs w:val="18"/>
              </w:rPr>
            </w:pPr>
            <w:r w:rsidRPr="00791F68">
              <w:rPr>
                <w:sz w:val="18"/>
                <w:szCs w:val="18"/>
              </w:rPr>
              <w:t>none</w:t>
            </w:r>
          </w:p>
        </w:tc>
        <w:tc>
          <w:tcPr>
            <w:tcW w:w="2126" w:type="dxa"/>
            <w:vAlign w:val="center"/>
          </w:tcPr>
          <w:p w14:paraId="187F6190" w14:textId="229FE744" w:rsidR="00FF7289" w:rsidRPr="00791F68" w:rsidRDefault="00FF7289" w:rsidP="00AC777A">
            <w:pPr>
              <w:jc w:val="center"/>
              <w:rPr>
                <w:sz w:val="18"/>
                <w:szCs w:val="18"/>
              </w:rPr>
            </w:pPr>
            <w:r w:rsidRPr="00791F68">
              <w:rPr>
                <w:sz w:val="18"/>
                <w:szCs w:val="18"/>
              </w:rPr>
              <w:t>Dose-response relationship</w:t>
            </w:r>
            <w:r w:rsidR="00BC6925" w:rsidRPr="00791F68">
              <w:rPr>
                <w:sz w:val="18"/>
                <w:szCs w:val="18"/>
              </w:rPr>
              <w:t>, but overall effect not significant</w:t>
            </w:r>
          </w:p>
        </w:tc>
        <w:tc>
          <w:tcPr>
            <w:tcW w:w="1276" w:type="dxa"/>
            <w:vAlign w:val="center"/>
          </w:tcPr>
          <w:p w14:paraId="69CEA18F" w14:textId="59753FB2" w:rsidR="00FF7289" w:rsidRPr="00791F68" w:rsidRDefault="00B10699" w:rsidP="00FF7289">
            <w:pPr>
              <w:jc w:val="center"/>
              <w:rPr>
                <w:sz w:val="18"/>
                <w:szCs w:val="18"/>
              </w:rPr>
            </w:pPr>
            <w:r w:rsidRPr="00791F68">
              <w:rPr>
                <w:sz w:val="18"/>
                <w:szCs w:val="18"/>
              </w:rPr>
              <w:t>2218</w:t>
            </w:r>
          </w:p>
        </w:tc>
        <w:tc>
          <w:tcPr>
            <w:tcW w:w="1988" w:type="dxa"/>
            <w:vAlign w:val="center"/>
          </w:tcPr>
          <w:p w14:paraId="3718D965" w14:textId="77777777" w:rsidR="00FF7289" w:rsidRPr="00791F68" w:rsidRDefault="00FF7289" w:rsidP="00FF7289">
            <w:pPr>
              <w:jc w:val="center"/>
              <w:rPr>
                <w:sz w:val="18"/>
                <w:szCs w:val="18"/>
              </w:rPr>
            </w:pPr>
            <w:r w:rsidRPr="00791F68">
              <w:rPr>
                <w:sz w:val="18"/>
                <w:szCs w:val="18"/>
              </w:rPr>
              <w:t xml:space="preserve">-0.01 </w:t>
            </w:r>
          </w:p>
          <w:p w14:paraId="4F58C77D" w14:textId="76D676F3" w:rsidR="00FF7289" w:rsidRPr="00791F68" w:rsidRDefault="00FF7289" w:rsidP="00652908">
            <w:pPr>
              <w:jc w:val="center"/>
              <w:rPr>
                <w:sz w:val="18"/>
                <w:szCs w:val="18"/>
              </w:rPr>
            </w:pPr>
            <w:r w:rsidRPr="00791F68">
              <w:rPr>
                <w:sz w:val="18"/>
                <w:szCs w:val="18"/>
              </w:rPr>
              <w:t>(-0.</w:t>
            </w:r>
            <w:r w:rsidR="005C0376" w:rsidRPr="00791F68">
              <w:rPr>
                <w:sz w:val="18"/>
                <w:szCs w:val="18"/>
              </w:rPr>
              <w:t>02</w:t>
            </w:r>
            <w:r w:rsidRPr="00791F68">
              <w:rPr>
                <w:sz w:val="18"/>
                <w:szCs w:val="18"/>
              </w:rPr>
              <w:t xml:space="preserve">, </w:t>
            </w:r>
            <w:r w:rsidR="00652908" w:rsidRPr="00791F68">
              <w:rPr>
                <w:sz w:val="18"/>
                <w:szCs w:val="18"/>
              </w:rPr>
              <w:t>-0.001</w:t>
            </w:r>
            <w:r w:rsidRPr="00791F68">
              <w:rPr>
                <w:sz w:val="18"/>
                <w:szCs w:val="18"/>
              </w:rPr>
              <w:t>)</w:t>
            </w:r>
          </w:p>
        </w:tc>
        <w:tc>
          <w:tcPr>
            <w:tcW w:w="1434" w:type="dxa"/>
            <w:vAlign w:val="center"/>
          </w:tcPr>
          <w:p w14:paraId="1BE9F169" w14:textId="77777777" w:rsidR="00FF7289" w:rsidRPr="00791F68" w:rsidRDefault="00FF7289" w:rsidP="00FF7289">
            <w:pPr>
              <w:jc w:val="center"/>
              <w:rPr>
                <w:sz w:val="18"/>
                <w:szCs w:val="18"/>
              </w:rPr>
            </w:pPr>
            <w:r w:rsidRPr="00791F68">
              <w:rPr>
                <w:sz w:val="18"/>
                <w:szCs w:val="18"/>
              </w:rPr>
              <w:sym w:font="Symbol" w:char="F0C5"/>
            </w:r>
            <w:r w:rsidRPr="00791F68">
              <w:rPr>
                <w:sz w:val="18"/>
                <w:szCs w:val="18"/>
              </w:rPr>
              <w:sym w:font="Symbol" w:char="F0C5"/>
            </w:r>
            <w:r w:rsidRPr="00791F68">
              <w:rPr>
                <w:sz w:val="18"/>
                <w:szCs w:val="18"/>
              </w:rPr>
              <w:sym w:font="Symbol" w:char="F0C5"/>
            </w:r>
          </w:p>
          <w:p w14:paraId="78DF0B4E" w14:textId="139EBFBC" w:rsidR="00FF7289" w:rsidRPr="00791F68" w:rsidRDefault="00B10699" w:rsidP="00FF7289">
            <w:pPr>
              <w:jc w:val="center"/>
              <w:rPr>
                <w:sz w:val="18"/>
                <w:szCs w:val="18"/>
              </w:rPr>
            </w:pPr>
            <w:r w:rsidRPr="00791F68">
              <w:rPr>
                <w:sz w:val="18"/>
                <w:szCs w:val="18"/>
              </w:rPr>
              <w:t>High</w:t>
            </w:r>
          </w:p>
        </w:tc>
      </w:tr>
      <w:tr w:rsidR="00791F68" w:rsidRPr="00791F68" w14:paraId="195ECA73" w14:textId="77777777" w:rsidTr="00FF7289">
        <w:trPr>
          <w:trHeight w:val="274"/>
        </w:trPr>
        <w:tc>
          <w:tcPr>
            <w:tcW w:w="14162" w:type="dxa"/>
            <w:gridSpan w:val="10"/>
            <w:shd w:val="clear" w:color="auto" w:fill="F2F2F2" w:themeFill="background1" w:themeFillShade="F2"/>
            <w:vAlign w:val="center"/>
          </w:tcPr>
          <w:p w14:paraId="60F45B48" w14:textId="58CEFA86" w:rsidR="00FF7289" w:rsidRPr="00791F68" w:rsidRDefault="00F3351A" w:rsidP="00F3351A">
            <w:pPr>
              <w:rPr>
                <w:b/>
                <w:sz w:val="18"/>
                <w:szCs w:val="18"/>
              </w:rPr>
            </w:pPr>
            <w:r w:rsidRPr="00791F68">
              <w:rPr>
                <w:b/>
                <w:sz w:val="18"/>
                <w:szCs w:val="18"/>
              </w:rPr>
              <w:t>Increase in t</w:t>
            </w:r>
            <w:r w:rsidR="00FF7289" w:rsidRPr="00791F68">
              <w:rPr>
                <w:b/>
                <w:sz w:val="18"/>
                <w:szCs w:val="18"/>
              </w:rPr>
              <w:t>otal cholesterol (studies published from 2010 onwards)</w:t>
            </w:r>
            <w:r w:rsidR="00097893">
              <w:rPr>
                <w:b/>
                <w:sz w:val="18"/>
                <w:szCs w:val="18"/>
                <w:vertAlign w:val="superscript"/>
              </w:rPr>
              <w:t>2</w:t>
            </w:r>
          </w:p>
        </w:tc>
      </w:tr>
      <w:tr w:rsidR="00791F68" w:rsidRPr="00791F68" w14:paraId="4602D955" w14:textId="77777777" w:rsidTr="00FF7289">
        <w:trPr>
          <w:trHeight w:val="274"/>
        </w:trPr>
        <w:tc>
          <w:tcPr>
            <w:tcW w:w="1384" w:type="dxa"/>
            <w:vAlign w:val="center"/>
          </w:tcPr>
          <w:p w14:paraId="648969D4" w14:textId="77777777" w:rsidR="00FF7289" w:rsidRPr="00791F68" w:rsidRDefault="00FF7289" w:rsidP="00FF7289">
            <w:pPr>
              <w:jc w:val="center"/>
              <w:rPr>
                <w:sz w:val="18"/>
                <w:szCs w:val="18"/>
              </w:rPr>
            </w:pPr>
            <w:r w:rsidRPr="00791F68">
              <w:rPr>
                <w:sz w:val="18"/>
                <w:szCs w:val="18"/>
              </w:rPr>
              <w:t>10</w:t>
            </w:r>
          </w:p>
        </w:tc>
        <w:tc>
          <w:tcPr>
            <w:tcW w:w="851" w:type="dxa"/>
            <w:vAlign w:val="center"/>
          </w:tcPr>
          <w:p w14:paraId="06ADD1DF" w14:textId="77777777" w:rsidR="00FF7289" w:rsidRPr="00791F68" w:rsidRDefault="00FF7289" w:rsidP="00FF7289">
            <w:pPr>
              <w:jc w:val="center"/>
              <w:rPr>
                <w:sz w:val="18"/>
                <w:szCs w:val="18"/>
              </w:rPr>
            </w:pPr>
            <w:r w:rsidRPr="00791F68">
              <w:rPr>
                <w:sz w:val="18"/>
                <w:szCs w:val="18"/>
              </w:rPr>
              <w:t>RCTs</w:t>
            </w:r>
          </w:p>
        </w:tc>
        <w:tc>
          <w:tcPr>
            <w:tcW w:w="992" w:type="dxa"/>
            <w:vAlign w:val="center"/>
          </w:tcPr>
          <w:p w14:paraId="5559020C" w14:textId="77777777" w:rsidR="00FF7289" w:rsidRPr="00791F68" w:rsidRDefault="00FF7289" w:rsidP="00FF7289">
            <w:pPr>
              <w:jc w:val="center"/>
              <w:rPr>
                <w:sz w:val="18"/>
                <w:szCs w:val="18"/>
              </w:rPr>
            </w:pPr>
            <w:r w:rsidRPr="00791F68">
              <w:rPr>
                <w:sz w:val="18"/>
                <w:szCs w:val="18"/>
              </w:rPr>
              <w:t>low</w:t>
            </w:r>
          </w:p>
        </w:tc>
        <w:tc>
          <w:tcPr>
            <w:tcW w:w="1417" w:type="dxa"/>
            <w:vAlign w:val="center"/>
          </w:tcPr>
          <w:p w14:paraId="52B05C60" w14:textId="20DB47F3" w:rsidR="00FF7289" w:rsidRPr="00791F68" w:rsidRDefault="00F7114A" w:rsidP="00F7114A">
            <w:pPr>
              <w:jc w:val="center"/>
              <w:rPr>
                <w:sz w:val="18"/>
                <w:szCs w:val="18"/>
              </w:rPr>
            </w:pPr>
            <w:r w:rsidRPr="00791F68">
              <w:rPr>
                <w:sz w:val="18"/>
                <w:szCs w:val="18"/>
              </w:rPr>
              <w:t>some</w:t>
            </w:r>
          </w:p>
        </w:tc>
        <w:tc>
          <w:tcPr>
            <w:tcW w:w="1418" w:type="dxa"/>
            <w:vAlign w:val="center"/>
          </w:tcPr>
          <w:p w14:paraId="52D4BCCB" w14:textId="77777777" w:rsidR="00FF7289" w:rsidRPr="00791F68" w:rsidRDefault="00FF7289" w:rsidP="00FF7289">
            <w:pPr>
              <w:jc w:val="center"/>
              <w:rPr>
                <w:sz w:val="18"/>
                <w:szCs w:val="18"/>
              </w:rPr>
            </w:pPr>
            <w:r w:rsidRPr="00791F68">
              <w:rPr>
                <w:sz w:val="18"/>
                <w:szCs w:val="18"/>
              </w:rPr>
              <w:t>none</w:t>
            </w:r>
          </w:p>
        </w:tc>
        <w:tc>
          <w:tcPr>
            <w:tcW w:w="1276" w:type="dxa"/>
            <w:vAlign w:val="center"/>
          </w:tcPr>
          <w:p w14:paraId="465BA37E" w14:textId="288DD695" w:rsidR="00FF7289" w:rsidRPr="00791F68" w:rsidRDefault="00097893" w:rsidP="00FF7289">
            <w:pPr>
              <w:jc w:val="center"/>
              <w:rPr>
                <w:sz w:val="18"/>
                <w:szCs w:val="18"/>
              </w:rPr>
            </w:pPr>
            <w:r>
              <w:rPr>
                <w:sz w:val="18"/>
                <w:szCs w:val="18"/>
              </w:rPr>
              <w:t>s</w:t>
            </w:r>
            <w:r w:rsidR="00FF7289" w:rsidRPr="00791F68">
              <w:rPr>
                <w:sz w:val="18"/>
                <w:szCs w:val="18"/>
              </w:rPr>
              <w:t>ome</w:t>
            </w:r>
            <w:r>
              <w:rPr>
                <w:b/>
                <w:sz w:val="18"/>
                <w:szCs w:val="18"/>
                <w:vertAlign w:val="superscript"/>
              </w:rPr>
              <w:t>4</w:t>
            </w:r>
          </w:p>
        </w:tc>
        <w:tc>
          <w:tcPr>
            <w:tcW w:w="2126" w:type="dxa"/>
            <w:vAlign w:val="center"/>
          </w:tcPr>
          <w:p w14:paraId="449BFA41" w14:textId="77777777" w:rsidR="00FF7289" w:rsidRPr="00791F68" w:rsidRDefault="00FF7289" w:rsidP="00FF7289">
            <w:pPr>
              <w:jc w:val="center"/>
              <w:rPr>
                <w:sz w:val="18"/>
                <w:szCs w:val="18"/>
              </w:rPr>
            </w:pPr>
            <w:r w:rsidRPr="00791F68">
              <w:rPr>
                <w:sz w:val="18"/>
                <w:szCs w:val="18"/>
              </w:rPr>
              <w:t>Dose-response relationship plausible</w:t>
            </w:r>
          </w:p>
        </w:tc>
        <w:tc>
          <w:tcPr>
            <w:tcW w:w="1276" w:type="dxa"/>
            <w:vAlign w:val="center"/>
          </w:tcPr>
          <w:p w14:paraId="2EDC7584" w14:textId="77777777" w:rsidR="00FF7289" w:rsidRPr="00791F68" w:rsidRDefault="00FF7289" w:rsidP="00FF7289">
            <w:pPr>
              <w:jc w:val="center"/>
              <w:rPr>
                <w:sz w:val="18"/>
                <w:szCs w:val="18"/>
              </w:rPr>
            </w:pPr>
            <w:r w:rsidRPr="00791F68">
              <w:rPr>
                <w:sz w:val="18"/>
                <w:szCs w:val="18"/>
              </w:rPr>
              <w:t>411</w:t>
            </w:r>
          </w:p>
        </w:tc>
        <w:tc>
          <w:tcPr>
            <w:tcW w:w="1988" w:type="dxa"/>
            <w:vAlign w:val="center"/>
          </w:tcPr>
          <w:p w14:paraId="5A9523FD" w14:textId="77777777" w:rsidR="00FF7289" w:rsidRPr="00791F68" w:rsidRDefault="00FF7289" w:rsidP="00FF7289">
            <w:pPr>
              <w:jc w:val="center"/>
              <w:rPr>
                <w:sz w:val="18"/>
                <w:szCs w:val="18"/>
              </w:rPr>
            </w:pPr>
            <w:r w:rsidRPr="00791F68">
              <w:rPr>
                <w:sz w:val="18"/>
                <w:szCs w:val="18"/>
              </w:rPr>
              <w:t>+0.02</w:t>
            </w:r>
          </w:p>
          <w:p w14:paraId="2692955A" w14:textId="3D986F17" w:rsidR="00FF7289" w:rsidRPr="00791F68" w:rsidRDefault="00FF7289" w:rsidP="00FF7289">
            <w:pPr>
              <w:jc w:val="center"/>
              <w:rPr>
                <w:sz w:val="18"/>
                <w:szCs w:val="18"/>
              </w:rPr>
            </w:pPr>
            <w:r w:rsidRPr="00791F68">
              <w:rPr>
                <w:sz w:val="18"/>
                <w:szCs w:val="18"/>
              </w:rPr>
              <w:t>(-0.03, + 0.07)</w:t>
            </w:r>
          </w:p>
        </w:tc>
        <w:tc>
          <w:tcPr>
            <w:tcW w:w="1434" w:type="dxa"/>
            <w:vAlign w:val="center"/>
          </w:tcPr>
          <w:p w14:paraId="60785B82" w14:textId="77777777" w:rsidR="00FF7289" w:rsidRPr="00791F68" w:rsidRDefault="00FF7289" w:rsidP="00FF7289">
            <w:pPr>
              <w:jc w:val="center"/>
              <w:rPr>
                <w:sz w:val="18"/>
                <w:szCs w:val="18"/>
              </w:rPr>
            </w:pPr>
            <w:r w:rsidRPr="00791F68">
              <w:rPr>
                <w:sz w:val="18"/>
                <w:szCs w:val="18"/>
              </w:rPr>
              <w:sym w:font="Symbol" w:char="F0C5"/>
            </w:r>
            <w:r w:rsidRPr="00791F68">
              <w:rPr>
                <w:sz w:val="18"/>
                <w:szCs w:val="18"/>
              </w:rPr>
              <w:sym w:font="Symbol" w:char="F0C5"/>
            </w:r>
            <w:r w:rsidRPr="00791F68">
              <w:rPr>
                <w:sz w:val="18"/>
                <w:szCs w:val="18"/>
              </w:rPr>
              <w:sym w:font="Symbol" w:char="F0C5"/>
            </w:r>
          </w:p>
          <w:p w14:paraId="045B84D0" w14:textId="77777777" w:rsidR="00FF7289" w:rsidRPr="00791F68" w:rsidRDefault="00FF7289" w:rsidP="00FF7289">
            <w:pPr>
              <w:jc w:val="center"/>
              <w:rPr>
                <w:sz w:val="18"/>
                <w:szCs w:val="18"/>
              </w:rPr>
            </w:pPr>
            <w:r w:rsidRPr="00791F68">
              <w:rPr>
                <w:sz w:val="18"/>
                <w:szCs w:val="18"/>
              </w:rPr>
              <w:t>Moderate</w:t>
            </w:r>
          </w:p>
        </w:tc>
      </w:tr>
      <w:tr w:rsidR="00791F68" w:rsidRPr="00791F68" w14:paraId="396B608B" w14:textId="77777777" w:rsidTr="00FF7289">
        <w:trPr>
          <w:trHeight w:val="274"/>
        </w:trPr>
        <w:tc>
          <w:tcPr>
            <w:tcW w:w="14162" w:type="dxa"/>
            <w:gridSpan w:val="10"/>
            <w:shd w:val="clear" w:color="auto" w:fill="F2F2F2" w:themeFill="background1" w:themeFillShade="F2"/>
            <w:vAlign w:val="center"/>
          </w:tcPr>
          <w:p w14:paraId="76586D70" w14:textId="76D30E3D" w:rsidR="00FF7289" w:rsidRPr="00791F68" w:rsidRDefault="00F3351A" w:rsidP="00F3351A">
            <w:pPr>
              <w:rPr>
                <w:sz w:val="18"/>
                <w:szCs w:val="18"/>
              </w:rPr>
            </w:pPr>
            <w:r w:rsidRPr="00791F68">
              <w:rPr>
                <w:b/>
                <w:sz w:val="18"/>
                <w:szCs w:val="18"/>
              </w:rPr>
              <w:t>Increase in t</w:t>
            </w:r>
            <w:r w:rsidR="00FF7289" w:rsidRPr="00791F68">
              <w:rPr>
                <w:b/>
                <w:sz w:val="18"/>
                <w:szCs w:val="18"/>
              </w:rPr>
              <w:t xml:space="preserve">otal cholesterol (based on </w:t>
            </w:r>
            <w:r w:rsidR="002C4A98" w:rsidRPr="00791F68">
              <w:rPr>
                <w:b/>
                <w:sz w:val="18"/>
                <w:szCs w:val="18"/>
              </w:rPr>
              <w:t xml:space="preserve">results from </w:t>
            </w:r>
            <w:r w:rsidR="00FF7289" w:rsidRPr="00791F68">
              <w:rPr>
                <w:b/>
                <w:sz w:val="18"/>
                <w:szCs w:val="18"/>
              </w:rPr>
              <w:t>all studies</w:t>
            </w:r>
            <w:r w:rsidR="002C4A98" w:rsidRPr="00791F68">
              <w:rPr>
                <w:b/>
                <w:sz w:val="18"/>
                <w:szCs w:val="18"/>
              </w:rPr>
              <w:t xml:space="preserve"> and</w:t>
            </w:r>
            <w:r w:rsidR="00FF7289" w:rsidRPr="00791F68">
              <w:rPr>
                <w:b/>
                <w:sz w:val="18"/>
                <w:szCs w:val="18"/>
              </w:rPr>
              <w:t xml:space="preserve"> results for LDL cholesterol and HDL cholesterol )</w:t>
            </w:r>
          </w:p>
        </w:tc>
      </w:tr>
      <w:tr w:rsidR="00791F68" w:rsidRPr="00791F68" w14:paraId="7DD85673" w14:textId="77777777" w:rsidTr="00FF7289">
        <w:trPr>
          <w:trHeight w:val="274"/>
        </w:trPr>
        <w:tc>
          <w:tcPr>
            <w:tcW w:w="1384" w:type="dxa"/>
            <w:vAlign w:val="center"/>
          </w:tcPr>
          <w:p w14:paraId="67637BE7" w14:textId="77777777" w:rsidR="00FF7289" w:rsidRPr="00791F68" w:rsidRDefault="00FF7289" w:rsidP="00FF7289">
            <w:pPr>
              <w:jc w:val="center"/>
              <w:rPr>
                <w:sz w:val="18"/>
                <w:szCs w:val="18"/>
              </w:rPr>
            </w:pPr>
            <w:r w:rsidRPr="00791F68">
              <w:rPr>
                <w:sz w:val="18"/>
                <w:szCs w:val="18"/>
              </w:rPr>
              <w:t>9 studies considered together with  the results of existing meta-analyses</w:t>
            </w:r>
          </w:p>
        </w:tc>
        <w:tc>
          <w:tcPr>
            <w:tcW w:w="851" w:type="dxa"/>
            <w:vAlign w:val="center"/>
          </w:tcPr>
          <w:p w14:paraId="6E952ABA" w14:textId="77777777" w:rsidR="00FF7289" w:rsidRPr="00791F68" w:rsidRDefault="00FF7289" w:rsidP="00FF7289">
            <w:pPr>
              <w:jc w:val="center"/>
              <w:rPr>
                <w:sz w:val="18"/>
                <w:szCs w:val="18"/>
              </w:rPr>
            </w:pPr>
            <w:r w:rsidRPr="00791F68">
              <w:rPr>
                <w:sz w:val="18"/>
                <w:szCs w:val="18"/>
              </w:rPr>
              <w:t>RCTs</w:t>
            </w:r>
          </w:p>
        </w:tc>
        <w:tc>
          <w:tcPr>
            <w:tcW w:w="992" w:type="dxa"/>
            <w:vAlign w:val="center"/>
          </w:tcPr>
          <w:p w14:paraId="6B950B4B" w14:textId="77777777" w:rsidR="00FF7289" w:rsidRPr="00791F68" w:rsidRDefault="00FF7289" w:rsidP="00FF7289">
            <w:pPr>
              <w:jc w:val="center"/>
              <w:rPr>
                <w:sz w:val="18"/>
                <w:szCs w:val="18"/>
              </w:rPr>
            </w:pPr>
            <w:r w:rsidRPr="00791F68">
              <w:rPr>
                <w:sz w:val="18"/>
                <w:szCs w:val="18"/>
              </w:rPr>
              <w:t>low</w:t>
            </w:r>
          </w:p>
        </w:tc>
        <w:tc>
          <w:tcPr>
            <w:tcW w:w="1417" w:type="dxa"/>
            <w:vAlign w:val="center"/>
          </w:tcPr>
          <w:p w14:paraId="4FDF2179" w14:textId="77777777" w:rsidR="00FF7289" w:rsidRPr="00791F68" w:rsidRDefault="00FF7289" w:rsidP="00FF7289">
            <w:pPr>
              <w:jc w:val="center"/>
              <w:rPr>
                <w:sz w:val="18"/>
                <w:szCs w:val="18"/>
              </w:rPr>
            </w:pPr>
            <w:r w:rsidRPr="00791F68">
              <w:rPr>
                <w:sz w:val="18"/>
                <w:szCs w:val="18"/>
              </w:rPr>
              <w:t>N/A</w:t>
            </w:r>
          </w:p>
        </w:tc>
        <w:tc>
          <w:tcPr>
            <w:tcW w:w="1418" w:type="dxa"/>
            <w:vAlign w:val="center"/>
          </w:tcPr>
          <w:p w14:paraId="3E140815" w14:textId="77777777" w:rsidR="00FF7289" w:rsidRPr="00791F68" w:rsidRDefault="00FF7289" w:rsidP="00FF7289">
            <w:pPr>
              <w:jc w:val="center"/>
              <w:rPr>
                <w:sz w:val="18"/>
                <w:szCs w:val="18"/>
              </w:rPr>
            </w:pPr>
            <w:r w:rsidRPr="00791F68">
              <w:rPr>
                <w:sz w:val="18"/>
                <w:szCs w:val="18"/>
              </w:rPr>
              <w:t>some</w:t>
            </w:r>
          </w:p>
        </w:tc>
        <w:tc>
          <w:tcPr>
            <w:tcW w:w="1276" w:type="dxa"/>
            <w:vAlign w:val="center"/>
          </w:tcPr>
          <w:p w14:paraId="2186E167" w14:textId="77777777" w:rsidR="00FF7289" w:rsidRPr="00791F68" w:rsidRDefault="00FF7289" w:rsidP="00FF7289">
            <w:pPr>
              <w:jc w:val="center"/>
              <w:rPr>
                <w:sz w:val="18"/>
                <w:szCs w:val="18"/>
              </w:rPr>
            </w:pPr>
            <w:r w:rsidRPr="00791F68">
              <w:rPr>
                <w:sz w:val="18"/>
                <w:szCs w:val="18"/>
              </w:rPr>
              <w:t>N/A</w:t>
            </w:r>
          </w:p>
        </w:tc>
        <w:tc>
          <w:tcPr>
            <w:tcW w:w="2126" w:type="dxa"/>
            <w:vAlign w:val="center"/>
          </w:tcPr>
          <w:p w14:paraId="4E81E2BE" w14:textId="77777777" w:rsidR="00FF7289" w:rsidRPr="00791F68" w:rsidRDefault="00FF7289" w:rsidP="00FF7289">
            <w:pPr>
              <w:jc w:val="center"/>
              <w:rPr>
                <w:sz w:val="18"/>
                <w:szCs w:val="18"/>
              </w:rPr>
            </w:pPr>
            <w:r w:rsidRPr="00791F68">
              <w:rPr>
                <w:sz w:val="18"/>
                <w:szCs w:val="18"/>
              </w:rPr>
              <w:t>Conclusions drawn on direct analysis of total cholesterol and indirectly by considering the effects on LDL and HDL cholesterol</w:t>
            </w:r>
          </w:p>
        </w:tc>
        <w:tc>
          <w:tcPr>
            <w:tcW w:w="1276" w:type="dxa"/>
            <w:vAlign w:val="center"/>
          </w:tcPr>
          <w:p w14:paraId="67E460F2" w14:textId="77777777" w:rsidR="00FF7289" w:rsidRPr="00791F68" w:rsidRDefault="00FF7289" w:rsidP="00FF7289">
            <w:pPr>
              <w:jc w:val="center"/>
              <w:rPr>
                <w:sz w:val="18"/>
                <w:szCs w:val="18"/>
              </w:rPr>
            </w:pPr>
            <w:r w:rsidRPr="00791F68">
              <w:rPr>
                <w:sz w:val="18"/>
                <w:szCs w:val="18"/>
              </w:rPr>
              <w:t>N/A</w:t>
            </w:r>
          </w:p>
        </w:tc>
        <w:tc>
          <w:tcPr>
            <w:tcW w:w="1988" w:type="dxa"/>
            <w:vAlign w:val="center"/>
          </w:tcPr>
          <w:p w14:paraId="3F682085" w14:textId="48DF2C2C" w:rsidR="00FF7289" w:rsidRPr="00791F68" w:rsidRDefault="00FF7289" w:rsidP="00F7114A">
            <w:pPr>
              <w:jc w:val="center"/>
              <w:rPr>
                <w:sz w:val="18"/>
                <w:szCs w:val="18"/>
              </w:rPr>
            </w:pPr>
            <w:r w:rsidRPr="00791F68">
              <w:rPr>
                <w:sz w:val="18"/>
              </w:rPr>
              <w:t>Not calculated directly, +0.03 by difference from previous reviews of LDL and HDL</w:t>
            </w:r>
            <w:r w:rsidR="00F7114A" w:rsidRPr="00791F68">
              <w:rPr>
                <w:sz w:val="18"/>
              </w:rPr>
              <w:t xml:space="preserve"> </w:t>
            </w:r>
            <w:r w:rsidRPr="00791F68">
              <w:rPr>
                <w:sz w:val="18"/>
              </w:rPr>
              <w:t>cholesterol, supports previous significant results of this magnitude</w:t>
            </w:r>
          </w:p>
        </w:tc>
        <w:tc>
          <w:tcPr>
            <w:tcW w:w="1434" w:type="dxa"/>
            <w:vAlign w:val="center"/>
          </w:tcPr>
          <w:p w14:paraId="18B46AC8" w14:textId="77777777" w:rsidR="00FF7289" w:rsidRPr="00791F68" w:rsidRDefault="00FF7289" w:rsidP="00FF7289">
            <w:pPr>
              <w:jc w:val="center"/>
              <w:rPr>
                <w:sz w:val="18"/>
                <w:szCs w:val="18"/>
              </w:rPr>
            </w:pPr>
            <w:r w:rsidRPr="00791F68">
              <w:rPr>
                <w:sz w:val="18"/>
                <w:szCs w:val="18"/>
              </w:rPr>
              <w:sym w:font="Symbol" w:char="F0C5"/>
            </w:r>
            <w:r w:rsidRPr="00791F68">
              <w:rPr>
                <w:sz w:val="18"/>
                <w:szCs w:val="18"/>
              </w:rPr>
              <w:sym w:font="Symbol" w:char="F0C5"/>
            </w:r>
            <w:r w:rsidRPr="00791F68">
              <w:rPr>
                <w:sz w:val="18"/>
                <w:szCs w:val="18"/>
              </w:rPr>
              <w:sym w:font="Symbol" w:char="F0C5"/>
            </w:r>
            <w:r w:rsidRPr="00791F68">
              <w:rPr>
                <w:sz w:val="18"/>
                <w:szCs w:val="18"/>
              </w:rPr>
              <w:sym w:font="Symbol" w:char="F0C5"/>
            </w:r>
          </w:p>
          <w:p w14:paraId="5C7133AD" w14:textId="77777777" w:rsidR="00FF7289" w:rsidRPr="00791F68" w:rsidRDefault="00FF7289" w:rsidP="00FF7289">
            <w:pPr>
              <w:jc w:val="center"/>
              <w:rPr>
                <w:sz w:val="18"/>
                <w:szCs w:val="18"/>
              </w:rPr>
            </w:pPr>
            <w:r w:rsidRPr="00791F68">
              <w:rPr>
                <w:sz w:val="18"/>
                <w:szCs w:val="18"/>
              </w:rPr>
              <w:t>High</w:t>
            </w:r>
          </w:p>
        </w:tc>
      </w:tr>
    </w:tbl>
    <w:p w14:paraId="690A3D70" w14:textId="77777777" w:rsidR="00FF7289" w:rsidRPr="00791F68" w:rsidRDefault="00FF7289" w:rsidP="00D337ED">
      <w:pPr>
        <w:rPr>
          <w:sz w:val="16"/>
          <w:szCs w:val="16"/>
        </w:rPr>
      </w:pPr>
    </w:p>
    <w:p w14:paraId="36B4577B" w14:textId="7884FA82" w:rsidR="00097893" w:rsidRDefault="00097893" w:rsidP="00097893">
      <w:pPr>
        <w:ind w:left="567" w:hanging="567"/>
        <w:rPr>
          <w:sz w:val="18"/>
          <w:szCs w:val="18"/>
        </w:rPr>
      </w:pPr>
      <w:r w:rsidRPr="00097893">
        <w:rPr>
          <w:b/>
          <w:sz w:val="18"/>
          <w:szCs w:val="18"/>
          <w:vertAlign w:val="superscript"/>
        </w:rPr>
        <w:t>1</w:t>
      </w:r>
      <w:r>
        <w:rPr>
          <w:sz w:val="18"/>
          <w:szCs w:val="18"/>
        </w:rPr>
        <w:t xml:space="preserve"> </w:t>
      </w:r>
      <w:r w:rsidRPr="00791F68">
        <w:rPr>
          <w:sz w:val="18"/>
          <w:szCs w:val="18"/>
        </w:rPr>
        <w:t xml:space="preserve">these relationships were not </w:t>
      </w:r>
      <w:proofErr w:type="spellStart"/>
      <w:r w:rsidRPr="00791F68">
        <w:rPr>
          <w:sz w:val="18"/>
          <w:szCs w:val="18"/>
        </w:rPr>
        <w:t>downrated</w:t>
      </w:r>
      <w:proofErr w:type="spellEnd"/>
      <w:r w:rsidRPr="00791F68">
        <w:rPr>
          <w:sz w:val="18"/>
          <w:szCs w:val="18"/>
        </w:rPr>
        <w:t xml:space="preserve"> despite having some inconsistency owing to the presence of a dose-response gradient</w:t>
      </w:r>
    </w:p>
    <w:p w14:paraId="2A6C9C91" w14:textId="5D4E05A1" w:rsidR="009F1EDD" w:rsidRPr="00791F68" w:rsidRDefault="00097893" w:rsidP="00097893">
      <w:pPr>
        <w:rPr>
          <w:sz w:val="18"/>
          <w:szCs w:val="18"/>
        </w:rPr>
      </w:pPr>
      <w:r>
        <w:rPr>
          <w:b/>
          <w:sz w:val="18"/>
          <w:szCs w:val="18"/>
          <w:vertAlign w:val="superscript"/>
        </w:rPr>
        <w:t>2</w:t>
      </w:r>
      <w:r>
        <w:rPr>
          <w:sz w:val="18"/>
          <w:szCs w:val="18"/>
        </w:rPr>
        <w:t xml:space="preserve"> </w:t>
      </w:r>
      <w:r w:rsidR="00F7114A" w:rsidRPr="00791F68">
        <w:rPr>
          <w:sz w:val="18"/>
          <w:szCs w:val="18"/>
        </w:rPr>
        <w:t>d</w:t>
      </w:r>
      <w:r w:rsidR="00FF7289" w:rsidRPr="00791F68">
        <w:rPr>
          <w:sz w:val="18"/>
          <w:szCs w:val="18"/>
        </w:rPr>
        <w:t xml:space="preserve">ata taken from </w:t>
      </w:r>
      <w:proofErr w:type="spellStart"/>
      <w:r w:rsidR="00FF7289" w:rsidRPr="00791F68">
        <w:rPr>
          <w:sz w:val="18"/>
          <w:szCs w:val="18"/>
        </w:rPr>
        <w:t>Hafekost</w:t>
      </w:r>
      <w:proofErr w:type="spellEnd"/>
      <w:r w:rsidR="00FF7289" w:rsidRPr="00791F68">
        <w:rPr>
          <w:sz w:val="18"/>
          <w:szCs w:val="18"/>
        </w:rPr>
        <w:t xml:space="preserve"> et al. (2014) </w:t>
      </w:r>
    </w:p>
    <w:p w14:paraId="27414563" w14:textId="7E5455E5" w:rsidR="00B10699" w:rsidRPr="00791F68" w:rsidRDefault="00097893" w:rsidP="00BC6925">
      <w:pPr>
        <w:rPr>
          <w:sz w:val="18"/>
          <w:szCs w:val="18"/>
        </w:rPr>
      </w:pPr>
      <w:r>
        <w:rPr>
          <w:b/>
          <w:sz w:val="18"/>
          <w:szCs w:val="18"/>
          <w:vertAlign w:val="superscript"/>
        </w:rPr>
        <w:t xml:space="preserve">3 </w:t>
      </w:r>
      <w:r w:rsidR="00B10699" w:rsidRPr="00791F68">
        <w:rPr>
          <w:sz w:val="18"/>
          <w:szCs w:val="18"/>
        </w:rPr>
        <w:t xml:space="preserve">data taken from </w:t>
      </w:r>
      <w:proofErr w:type="spellStart"/>
      <w:r w:rsidR="00B10699" w:rsidRPr="00791F68">
        <w:rPr>
          <w:sz w:val="18"/>
          <w:szCs w:val="18"/>
        </w:rPr>
        <w:t>Hafekost</w:t>
      </w:r>
      <w:proofErr w:type="spellEnd"/>
      <w:r w:rsidR="00B10699" w:rsidRPr="00791F68">
        <w:rPr>
          <w:sz w:val="18"/>
          <w:szCs w:val="18"/>
        </w:rPr>
        <w:t xml:space="preserve"> et al. (2014), revised analysis</w:t>
      </w:r>
    </w:p>
    <w:p w14:paraId="48E3D2A5" w14:textId="65AE3E6E" w:rsidR="00FF7289" w:rsidRPr="00791F68" w:rsidRDefault="00097893" w:rsidP="00F7114A">
      <w:pPr>
        <w:ind w:left="567" w:hanging="567"/>
        <w:rPr>
          <w:sz w:val="18"/>
          <w:szCs w:val="18"/>
        </w:rPr>
      </w:pPr>
      <w:r>
        <w:rPr>
          <w:b/>
          <w:sz w:val="18"/>
          <w:szCs w:val="18"/>
          <w:vertAlign w:val="superscript"/>
        </w:rPr>
        <w:t>4</w:t>
      </w:r>
      <w:r>
        <w:rPr>
          <w:sz w:val="18"/>
          <w:szCs w:val="18"/>
        </w:rPr>
        <w:t xml:space="preserve"> t</w:t>
      </w:r>
      <w:r w:rsidR="00FF7289" w:rsidRPr="00791F68">
        <w:rPr>
          <w:sz w:val="18"/>
          <w:szCs w:val="18"/>
        </w:rPr>
        <w:t>otal cholesterol (analysis of studies published from 2010 onwards</w:t>
      </w:r>
      <w:r w:rsidR="000623CF" w:rsidRPr="00791F68">
        <w:rPr>
          <w:sz w:val="18"/>
          <w:szCs w:val="18"/>
        </w:rPr>
        <w:t>)</w:t>
      </w:r>
      <w:r w:rsidR="00FF7289" w:rsidRPr="00791F68">
        <w:rPr>
          <w:sz w:val="18"/>
          <w:szCs w:val="18"/>
        </w:rPr>
        <w:t xml:space="preserve"> </w:t>
      </w:r>
      <w:r w:rsidR="009F1EDD" w:rsidRPr="00791F68">
        <w:rPr>
          <w:sz w:val="18"/>
          <w:szCs w:val="18"/>
        </w:rPr>
        <w:t xml:space="preserve">were not statistically significant </w:t>
      </w:r>
    </w:p>
    <w:p w14:paraId="33B18C0D" w14:textId="0EDAE4E6" w:rsidR="00A33216" w:rsidRPr="00791F68" w:rsidRDefault="00A33216" w:rsidP="00D337ED">
      <w:pPr>
        <w:rPr>
          <w:sz w:val="18"/>
          <w:szCs w:val="18"/>
        </w:rPr>
      </w:pPr>
      <w:r w:rsidRPr="00791F68">
        <w:rPr>
          <w:sz w:val="18"/>
          <w:szCs w:val="18"/>
        </w:rPr>
        <w:t>N</w:t>
      </w:r>
      <w:r w:rsidR="000623CF" w:rsidRPr="00791F68">
        <w:rPr>
          <w:sz w:val="18"/>
          <w:szCs w:val="18"/>
        </w:rPr>
        <w:t>/</w:t>
      </w:r>
      <w:r w:rsidRPr="00791F68">
        <w:rPr>
          <w:sz w:val="18"/>
          <w:szCs w:val="18"/>
        </w:rPr>
        <w:t>A</w:t>
      </w:r>
      <w:r w:rsidR="00F7114A" w:rsidRPr="00791F68">
        <w:rPr>
          <w:sz w:val="18"/>
          <w:szCs w:val="18"/>
        </w:rPr>
        <w:tab/>
      </w:r>
      <w:r w:rsidRPr="00791F68">
        <w:rPr>
          <w:sz w:val="18"/>
          <w:szCs w:val="18"/>
        </w:rPr>
        <w:t>not applicable</w:t>
      </w:r>
    </w:p>
    <w:sectPr w:rsidR="00A33216" w:rsidRPr="00791F68" w:rsidSect="0047690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ED68C" w14:textId="77777777" w:rsidR="006B6FAA" w:rsidRDefault="006B6FAA" w:rsidP="006F0F97">
      <w:r>
        <w:separator/>
      </w:r>
    </w:p>
  </w:endnote>
  <w:endnote w:type="continuationSeparator" w:id="0">
    <w:p w14:paraId="2738B1CE" w14:textId="77777777" w:rsidR="006B6FAA" w:rsidRDefault="006B6FAA" w:rsidP="006F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E5AD8" w14:textId="359BBDD2" w:rsidR="004B560C" w:rsidRDefault="004B560C">
    <w:pPr>
      <w:pStyle w:val="Footer"/>
      <w:jc w:val="right"/>
    </w:pPr>
  </w:p>
  <w:p w14:paraId="2EB75372" w14:textId="77777777" w:rsidR="004B560C" w:rsidRDefault="004B5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025095"/>
      <w:docPartObj>
        <w:docPartGallery w:val="Page Numbers (Bottom of Page)"/>
        <w:docPartUnique/>
      </w:docPartObj>
    </w:sdtPr>
    <w:sdtEndPr>
      <w:rPr>
        <w:noProof/>
      </w:rPr>
    </w:sdtEndPr>
    <w:sdtContent>
      <w:p w14:paraId="56B371B9" w14:textId="3B6730A2" w:rsidR="004B560C" w:rsidRDefault="004B560C">
        <w:pPr>
          <w:pStyle w:val="Footer"/>
          <w:jc w:val="right"/>
        </w:pPr>
        <w:r>
          <w:fldChar w:fldCharType="begin"/>
        </w:r>
        <w:r>
          <w:instrText xml:space="preserve"> PAGE   \* MERGEFORMAT </w:instrText>
        </w:r>
        <w:r>
          <w:fldChar w:fldCharType="separate"/>
        </w:r>
        <w:r w:rsidR="000800BE">
          <w:rPr>
            <w:noProof/>
          </w:rPr>
          <w:t>ii</w:t>
        </w:r>
        <w:r>
          <w:rPr>
            <w:noProof/>
          </w:rPr>
          <w:fldChar w:fldCharType="end"/>
        </w:r>
      </w:p>
    </w:sdtContent>
  </w:sdt>
  <w:p w14:paraId="3D1EBB3F" w14:textId="77777777" w:rsidR="004B560C" w:rsidRDefault="004B56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B2D9D" w14:textId="211E40A3" w:rsidR="004B560C" w:rsidRDefault="004B560C">
    <w:pPr>
      <w:pStyle w:val="Footer"/>
      <w:jc w:val="right"/>
    </w:pPr>
  </w:p>
  <w:p w14:paraId="13AC9635" w14:textId="77777777" w:rsidR="004B560C" w:rsidRDefault="004B560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695549"/>
      <w:docPartObj>
        <w:docPartGallery w:val="Page Numbers (Bottom of Page)"/>
        <w:docPartUnique/>
      </w:docPartObj>
    </w:sdtPr>
    <w:sdtEndPr>
      <w:rPr>
        <w:noProof/>
      </w:rPr>
    </w:sdtEndPr>
    <w:sdtContent>
      <w:p w14:paraId="1A373CC6" w14:textId="0BB4B7E2" w:rsidR="004B560C" w:rsidRDefault="004B560C">
        <w:pPr>
          <w:pStyle w:val="Footer"/>
          <w:jc w:val="right"/>
        </w:pPr>
        <w:r>
          <w:fldChar w:fldCharType="begin"/>
        </w:r>
        <w:r>
          <w:instrText xml:space="preserve"> PAGE   \* MERGEFORMAT </w:instrText>
        </w:r>
        <w:r>
          <w:fldChar w:fldCharType="separate"/>
        </w:r>
        <w:r w:rsidR="000800BE">
          <w:rPr>
            <w:noProof/>
          </w:rPr>
          <w:t>16</w:t>
        </w:r>
        <w:r>
          <w:rPr>
            <w:noProof/>
          </w:rPr>
          <w:fldChar w:fldCharType="end"/>
        </w:r>
      </w:p>
    </w:sdtContent>
  </w:sdt>
  <w:p w14:paraId="542346E7" w14:textId="77777777" w:rsidR="004B560C" w:rsidRDefault="004B5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3491" w14:textId="77777777" w:rsidR="006B6FAA" w:rsidRDefault="006B6FAA" w:rsidP="006F0F97">
      <w:r>
        <w:separator/>
      </w:r>
    </w:p>
  </w:footnote>
  <w:footnote w:type="continuationSeparator" w:id="0">
    <w:p w14:paraId="2AD0C5CD" w14:textId="77777777" w:rsidR="006B6FAA" w:rsidRDefault="006B6FAA" w:rsidP="006F0F97">
      <w:r>
        <w:continuationSeparator/>
      </w:r>
    </w:p>
  </w:footnote>
  <w:footnote w:id="1">
    <w:p w14:paraId="21E4D6DE" w14:textId="6E8064F6" w:rsidR="004B560C" w:rsidRPr="00E92FFB" w:rsidRDefault="004B560C">
      <w:pPr>
        <w:pStyle w:val="FootnoteText"/>
        <w:rPr>
          <w:lang w:val="en-AU"/>
        </w:rPr>
      </w:pPr>
      <w:r>
        <w:rPr>
          <w:rStyle w:val="FootnoteReference"/>
        </w:rPr>
        <w:footnoteRef/>
      </w:r>
      <w:r>
        <w:t xml:space="preserve"> Report is available at </w:t>
      </w:r>
      <w:hyperlink r:id="rId1" w:history="1">
        <w:r w:rsidRPr="00FC5950">
          <w:rPr>
            <w:rStyle w:val="Hyperlink"/>
          </w:rPr>
          <w:t>http://www.foodstandards.gov.au/consumer/labelling/nutrition/pages/reviewsforhighlevelc3090.aspx</w:t>
        </w:r>
      </w:hyperlink>
      <w:r>
        <w:t xml:space="preserve">  </w:t>
      </w:r>
    </w:p>
  </w:footnote>
  <w:footnote w:id="2">
    <w:p w14:paraId="4A5F4F69" w14:textId="57F0E99F" w:rsidR="004B560C" w:rsidRPr="00E92FFB" w:rsidRDefault="004B560C">
      <w:pPr>
        <w:pStyle w:val="FootnoteText"/>
        <w:rPr>
          <w:lang w:val="en-AU"/>
        </w:rPr>
      </w:pPr>
      <w:r>
        <w:rPr>
          <w:rStyle w:val="FootnoteReference"/>
        </w:rPr>
        <w:footnoteRef/>
      </w:r>
      <w:r>
        <w:t xml:space="preserve"> </w:t>
      </w:r>
      <w:r>
        <w:rPr>
          <w:lang w:val="en-AU"/>
        </w:rPr>
        <w:t xml:space="preserve">Report is available at </w:t>
      </w:r>
      <w:r w:rsidRPr="004C22EB">
        <w:t>(</w:t>
      </w:r>
      <w:hyperlink r:id="rId2" w:history="1">
        <w:r w:rsidRPr="004C22EB">
          <w:rPr>
            <w:rStyle w:val="Hyperlink"/>
          </w:rPr>
          <w:t>http://www.foodstandards.gov.au/science/monitoringnutrients/Pages/Monitoring-of-trans-fatty-acids.aspx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2CC"/>
    <w:multiLevelType w:val="multilevel"/>
    <w:tmpl w:val="BD54D0B4"/>
    <w:lvl w:ilvl="0">
      <w:start w:val="1"/>
      <w:numFmt w:val="decimal"/>
      <w:pStyle w:val="Heading1"/>
      <w:lvlText w:val="%1"/>
      <w:lvlJc w:val="left"/>
      <w:pPr>
        <w:ind w:left="1142" w:hanging="432"/>
      </w:pPr>
      <w:rPr>
        <w:rFonts w:hint="default"/>
      </w:rPr>
    </w:lvl>
    <w:lvl w:ilvl="1">
      <w:start w:val="1"/>
      <w:numFmt w:val="decimal"/>
      <w:pStyle w:val="Heading2"/>
      <w:lvlText w:val="%1.%2"/>
      <w:lvlJc w:val="left"/>
      <w:pPr>
        <w:ind w:left="1286" w:hanging="576"/>
      </w:pPr>
      <w:rPr>
        <w:rFonts w:hint="default"/>
      </w:rPr>
    </w:lvl>
    <w:lvl w:ilvl="2">
      <w:start w:val="1"/>
      <w:numFmt w:val="decimal"/>
      <w:pStyle w:val="Heading3"/>
      <w:lvlText w:val="%1.%2.%3"/>
      <w:lvlJc w:val="left"/>
      <w:pPr>
        <w:ind w:left="1430"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1">
    <w:nsid w:val="112A1928"/>
    <w:multiLevelType w:val="hybridMultilevel"/>
    <w:tmpl w:val="932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3F427C"/>
    <w:multiLevelType w:val="hybridMultilevel"/>
    <w:tmpl w:val="4522A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9F2DBE"/>
    <w:multiLevelType w:val="hybridMultilevel"/>
    <w:tmpl w:val="0DAC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F25343"/>
    <w:multiLevelType w:val="multilevel"/>
    <w:tmpl w:val="08FE76B6"/>
    <w:lvl w:ilvl="0">
      <w:start w:val="1"/>
      <w:numFmt w:val="decimal"/>
      <w:lvlText w:val="%1"/>
      <w:lvlJc w:val="left"/>
      <w:pPr>
        <w:ind w:left="574" w:hanging="432"/>
      </w:pPr>
      <w:rPr>
        <w:rFonts w:hint="default"/>
        <w:sz w:val="32"/>
        <w:szCs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7A47038"/>
    <w:multiLevelType w:val="hybridMultilevel"/>
    <w:tmpl w:val="D1F0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535FA8"/>
    <w:multiLevelType w:val="hybridMultilevel"/>
    <w:tmpl w:val="FB7ED268"/>
    <w:lvl w:ilvl="0" w:tplc="725223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6963ED"/>
    <w:multiLevelType w:val="hybridMultilevel"/>
    <w:tmpl w:val="7752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AB452BD"/>
    <w:multiLevelType w:val="hybridMultilevel"/>
    <w:tmpl w:val="D596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684950"/>
    <w:multiLevelType w:val="hybridMultilevel"/>
    <w:tmpl w:val="8460F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FF4521"/>
    <w:multiLevelType w:val="hybridMultilevel"/>
    <w:tmpl w:val="AAE45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B01255F"/>
    <w:multiLevelType w:val="hybridMultilevel"/>
    <w:tmpl w:val="E12C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DC390C"/>
    <w:multiLevelType w:val="hybridMultilevel"/>
    <w:tmpl w:val="8C6806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5B726F"/>
    <w:multiLevelType w:val="hybridMultilevel"/>
    <w:tmpl w:val="B766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3F1350"/>
    <w:multiLevelType w:val="hybridMultilevel"/>
    <w:tmpl w:val="A93A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BA0B07"/>
    <w:multiLevelType w:val="hybridMultilevel"/>
    <w:tmpl w:val="6A78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090477"/>
    <w:multiLevelType w:val="hybridMultilevel"/>
    <w:tmpl w:val="8402B6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1B773E"/>
    <w:multiLevelType w:val="hybridMultilevel"/>
    <w:tmpl w:val="D18C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770621B"/>
    <w:multiLevelType w:val="hybridMultilevel"/>
    <w:tmpl w:val="DD5C98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7843743E"/>
    <w:multiLevelType w:val="hybridMultilevel"/>
    <w:tmpl w:val="9060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21"/>
  </w:num>
  <w:num w:numId="9">
    <w:abstractNumId w:val="12"/>
  </w:num>
  <w:num w:numId="10">
    <w:abstractNumId w:val="15"/>
  </w:num>
  <w:num w:numId="11">
    <w:abstractNumId w:val="21"/>
  </w:num>
  <w:num w:numId="12">
    <w:abstractNumId w:val="12"/>
  </w:num>
  <w:num w:numId="13">
    <w:abstractNumId w:val="15"/>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4"/>
  </w:num>
  <w:num w:numId="19">
    <w:abstractNumId w:val="19"/>
  </w:num>
  <w:num w:numId="20">
    <w:abstractNumId w:val="16"/>
  </w:num>
  <w:num w:numId="21">
    <w:abstractNumId w:val="5"/>
  </w:num>
  <w:num w:numId="22">
    <w:abstractNumId w:val="10"/>
  </w:num>
  <w:num w:numId="23">
    <w:abstractNumId w:val="17"/>
  </w:num>
  <w:num w:numId="24">
    <w:abstractNumId w:val="13"/>
  </w:num>
  <w:num w:numId="25">
    <w:abstractNumId w:val="7"/>
  </w:num>
  <w:num w:numId="26">
    <w:abstractNumId w:val="9"/>
  </w:num>
  <w:num w:numId="27">
    <w:abstractNumId w:val="22"/>
  </w:num>
  <w:num w:numId="28">
    <w:abstractNumId w:val="3"/>
  </w:num>
  <w:num w:numId="29">
    <w:abstractNumId w:val="1"/>
  </w:num>
  <w:num w:numId="30">
    <w:abstractNumId w:val="14"/>
  </w:num>
  <w:num w:numId="31">
    <w:abstractNumId w:val="2"/>
  </w:num>
  <w:num w:numId="32">
    <w:abstractNumId w:val="11"/>
  </w:num>
  <w:num w:numId="33">
    <w:abstractNumId w:val="23"/>
  </w:num>
  <w:num w:numId="34">
    <w:abstractNumId w:val="18"/>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A1"/>
    <w:rsid w:val="000026F8"/>
    <w:rsid w:val="0000542C"/>
    <w:rsid w:val="00016D36"/>
    <w:rsid w:val="00017BE3"/>
    <w:rsid w:val="00031D3F"/>
    <w:rsid w:val="00041643"/>
    <w:rsid w:val="00044304"/>
    <w:rsid w:val="00044997"/>
    <w:rsid w:val="0006192C"/>
    <w:rsid w:val="000622E7"/>
    <w:rsid w:val="000623CF"/>
    <w:rsid w:val="00066854"/>
    <w:rsid w:val="00066D85"/>
    <w:rsid w:val="000760CC"/>
    <w:rsid w:val="000800BE"/>
    <w:rsid w:val="00081048"/>
    <w:rsid w:val="00092090"/>
    <w:rsid w:val="00096660"/>
    <w:rsid w:val="00097893"/>
    <w:rsid w:val="000A2E5F"/>
    <w:rsid w:val="000A2F8E"/>
    <w:rsid w:val="000A38F8"/>
    <w:rsid w:val="000A4C71"/>
    <w:rsid w:val="000B2D9F"/>
    <w:rsid w:val="000B5227"/>
    <w:rsid w:val="000C0352"/>
    <w:rsid w:val="000C0778"/>
    <w:rsid w:val="000C4D10"/>
    <w:rsid w:val="000C7DBD"/>
    <w:rsid w:val="000F2196"/>
    <w:rsid w:val="000F2D4D"/>
    <w:rsid w:val="00110DD7"/>
    <w:rsid w:val="00116A95"/>
    <w:rsid w:val="0012317E"/>
    <w:rsid w:val="001307F7"/>
    <w:rsid w:val="001507A7"/>
    <w:rsid w:val="0015206B"/>
    <w:rsid w:val="00157B87"/>
    <w:rsid w:val="001734EA"/>
    <w:rsid w:val="00173EE6"/>
    <w:rsid w:val="00175C0A"/>
    <w:rsid w:val="0017757F"/>
    <w:rsid w:val="00184403"/>
    <w:rsid w:val="001900E1"/>
    <w:rsid w:val="00191770"/>
    <w:rsid w:val="001938E9"/>
    <w:rsid w:val="00193FE1"/>
    <w:rsid w:val="001A6240"/>
    <w:rsid w:val="001C1554"/>
    <w:rsid w:val="001C3C9E"/>
    <w:rsid w:val="001C43A8"/>
    <w:rsid w:val="001C5126"/>
    <w:rsid w:val="001C59FC"/>
    <w:rsid w:val="001C72E4"/>
    <w:rsid w:val="001E1D6C"/>
    <w:rsid w:val="001E696B"/>
    <w:rsid w:val="001F2533"/>
    <w:rsid w:val="00201C51"/>
    <w:rsid w:val="00202CF8"/>
    <w:rsid w:val="00207C2B"/>
    <w:rsid w:val="002232B1"/>
    <w:rsid w:val="002339A2"/>
    <w:rsid w:val="00234C31"/>
    <w:rsid w:val="0024097D"/>
    <w:rsid w:val="0025635B"/>
    <w:rsid w:val="00264BDC"/>
    <w:rsid w:val="002673E8"/>
    <w:rsid w:val="0028613C"/>
    <w:rsid w:val="00290704"/>
    <w:rsid w:val="002A6BEF"/>
    <w:rsid w:val="002B3A99"/>
    <w:rsid w:val="002B6279"/>
    <w:rsid w:val="002C4A98"/>
    <w:rsid w:val="002C5274"/>
    <w:rsid w:val="002C5C64"/>
    <w:rsid w:val="002D41B9"/>
    <w:rsid w:val="002D4953"/>
    <w:rsid w:val="002D79B6"/>
    <w:rsid w:val="002E625D"/>
    <w:rsid w:val="002F5551"/>
    <w:rsid w:val="002F714C"/>
    <w:rsid w:val="00314512"/>
    <w:rsid w:val="003241A2"/>
    <w:rsid w:val="003254DF"/>
    <w:rsid w:val="0033021F"/>
    <w:rsid w:val="00341D25"/>
    <w:rsid w:val="0034384A"/>
    <w:rsid w:val="0034431D"/>
    <w:rsid w:val="00346489"/>
    <w:rsid w:val="00352386"/>
    <w:rsid w:val="0036483B"/>
    <w:rsid w:val="003669AF"/>
    <w:rsid w:val="00370E9F"/>
    <w:rsid w:val="003718D6"/>
    <w:rsid w:val="00373855"/>
    <w:rsid w:val="003876AD"/>
    <w:rsid w:val="00394230"/>
    <w:rsid w:val="003A1064"/>
    <w:rsid w:val="003B166D"/>
    <w:rsid w:val="003B4CF4"/>
    <w:rsid w:val="003B4D01"/>
    <w:rsid w:val="003E01D1"/>
    <w:rsid w:val="003E2E87"/>
    <w:rsid w:val="003E3E05"/>
    <w:rsid w:val="003F4881"/>
    <w:rsid w:val="003F6A7D"/>
    <w:rsid w:val="0040265B"/>
    <w:rsid w:val="00402E83"/>
    <w:rsid w:val="00404702"/>
    <w:rsid w:val="004107BF"/>
    <w:rsid w:val="00411FD6"/>
    <w:rsid w:val="004134E4"/>
    <w:rsid w:val="00416FB4"/>
    <w:rsid w:val="0042521D"/>
    <w:rsid w:val="00433834"/>
    <w:rsid w:val="004341AD"/>
    <w:rsid w:val="0043420B"/>
    <w:rsid w:val="00435DFB"/>
    <w:rsid w:val="00441D77"/>
    <w:rsid w:val="00443763"/>
    <w:rsid w:val="00443F05"/>
    <w:rsid w:val="00451D91"/>
    <w:rsid w:val="00472311"/>
    <w:rsid w:val="00472698"/>
    <w:rsid w:val="00476903"/>
    <w:rsid w:val="00483D80"/>
    <w:rsid w:val="00484050"/>
    <w:rsid w:val="00485525"/>
    <w:rsid w:val="00486522"/>
    <w:rsid w:val="00486619"/>
    <w:rsid w:val="0048737F"/>
    <w:rsid w:val="004A0E76"/>
    <w:rsid w:val="004B39B8"/>
    <w:rsid w:val="004B560C"/>
    <w:rsid w:val="004C0047"/>
    <w:rsid w:val="004C22EB"/>
    <w:rsid w:val="004C72D8"/>
    <w:rsid w:val="004D1298"/>
    <w:rsid w:val="004D3868"/>
    <w:rsid w:val="004D3AAF"/>
    <w:rsid w:val="004D56E1"/>
    <w:rsid w:val="004D6A02"/>
    <w:rsid w:val="004E17EE"/>
    <w:rsid w:val="004E6694"/>
    <w:rsid w:val="004E68B5"/>
    <w:rsid w:val="004F016F"/>
    <w:rsid w:val="004F559C"/>
    <w:rsid w:val="005039F7"/>
    <w:rsid w:val="005062D5"/>
    <w:rsid w:val="00507992"/>
    <w:rsid w:val="00512DB9"/>
    <w:rsid w:val="005264C7"/>
    <w:rsid w:val="00530F33"/>
    <w:rsid w:val="0054036E"/>
    <w:rsid w:val="0054294B"/>
    <w:rsid w:val="00544A04"/>
    <w:rsid w:val="005464F2"/>
    <w:rsid w:val="00546B3C"/>
    <w:rsid w:val="005646FF"/>
    <w:rsid w:val="00564C28"/>
    <w:rsid w:val="005673DE"/>
    <w:rsid w:val="00575184"/>
    <w:rsid w:val="00581FEF"/>
    <w:rsid w:val="00582594"/>
    <w:rsid w:val="00590D6D"/>
    <w:rsid w:val="005A4A96"/>
    <w:rsid w:val="005B0F31"/>
    <w:rsid w:val="005B364A"/>
    <w:rsid w:val="005B578D"/>
    <w:rsid w:val="005C0376"/>
    <w:rsid w:val="005C1996"/>
    <w:rsid w:val="005C5340"/>
    <w:rsid w:val="005D086F"/>
    <w:rsid w:val="00601073"/>
    <w:rsid w:val="00601BD4"/>
    <w:rsid w:val="00602383"/>
    <w:rsid w:val="00611499"/>
    <w:rsid w:val="00614E07"/>
    <w:rsid w:val="00624283"/>
    <w:rsid w:val="00624FA9"/>
    <w:rsid w:val="00630140"/>
    <w:rsid w:val="00642026"/>
    <w:rsid w:val="00642A7A"/>
    <w:rsid w:val="006470BA"/>
    <w:rsid w:val="00652908"/>
    <w:rsid w:val="00654778"/>
    <w:rsid w:val="00662EB0"/>
    <w:rsid w:val="006653F7"/>
    <w:rsid w:val="00671ADD"/>
    <w:rsid w:val="00683AFE"/>
    <w:rsid w:val="006949E8"/>
    <w:rsid w:val="006A4718"/>
    <w:rsid w:val="006A7CD6"/>
    <w:rsid w:val="006B08D8"/>
    <w:rsid w:val="006B1F8B"/>
    <w:rsid w:val="006B6900"/>
    <w:rsid w:val="006B6FAA"/>
    <w:rsid w:val="006C189B"/>
    <w:rsid w:val="006D473E"/>
    <w:rsid w:val="006D51D5"/>
    <w:rsid w:val="006D6525"/>
    <w:rsid w:val="006E02C0"/>
    <w:rsid w:val="006E66A3"/>
    <w:rsid w:val="006F0F97"/>
    <w:rsid w:val="007030FC"/>
    <w:rsid w:val="00703C34"/>
    <w:rsid w:val="00706423"/>
    <w:rsid w:val="00707523"/>
    <w:rsid w:val="00715D45"/>
    <w:rsid w:val="00741965"/>
    <w:rsid w:val="00741B94"/>
    <w:rsid w:val="00744F70"/>
    <w:rsid w:val="0074599D"/>
    <w:rsid w:val="00746F37"/>
    <w:rsid w:val="007554C6"/>
    <w:rsid w:val="00757881"/>
    <w:rsid w:val="0076051E"/>
    <w:rsid w:val="00767473"/>
    <w:rsid w:val="00771175"/>
    <w:rsid w:val="0077511C"/>
    <w:rsid w:val="00784B89"/>
    <w:rsid w:val="00786516"/>
    <w:rsid w:val="00791D14"/>
    <w:rsid w:val="00791F68"/>
    <w:rsid w:val="00793DE6"/>
    <w:rsid w:val="00795764"/>
    <w:rsid w:val="007C003E"/>
    <w:rsid w:val="007C23E4"/>
    <w:rsid w:val="007D31D9"/>
    <w:rsid w:val="007D729E"/>
    <w:rsid w:val="007E1037"/>
    <w:rsid w:val="007E19DF"/>
    <w:rsid w:val="007E2015"/>
    <w:rsid w:val="007F6456"/>
    <w:rsid w:val="008140C0"/>
    <w:rsid w:val="008162A9"/>
    <w:rsid w:val="0081637B"/>
    <w:rsid w:val="00816712"/>
    <w:rsid w:val="00827479"/>
    <w:rsid w:val="00830393"/>
    <w:rsid w:val="00831F23"/>
    <w:rsid w:val="0083207E"/>
    <w:rsid w:val="00832709"/>
    <w:rsid w:val="00833D5A"/>
    <w:rsid w:val="00850A70"/>
    <w:rsid w:val="00860334"/>
    <w:rsid w:val="00860EE7"/>
    <w:rsid w:val="00863FFA"/>
    <w:rsid w:val="00867874"/>
    <w:rsid w:val="00874C0E"/>
    <w:rsid w:val="0087662F"/>
    <w:rsid w:val="00877A81"/>
    <w:rsid w:val="00884646"/>
    <w:rsid w:val="008931F6"/>
    <w:rsid w:val="008945AE"/>
    <w:rsid w:val="008D3D7E"/>
    <w:rsid w:val="008E2339"/>
    <w:rsid w:val="008E6213"/>
    <w:rsid w:val="008F169A"/>
    <w:rsid w:val="00905CD5"/>
    <w:rsid w:val="0092750E"/>
    <w:rsid w:val="00934B17"/>
    <w:rsid w:val="00935023"/>
    <w:rsid w:val="0093663E"/>
    <w:rsid w:val="0095036C"/>
    <w:rsid w:val="00952C55"/>
    <w:rsid w:val="009544F1"/>
    <w:rsid w:val="0095578F"/>
    <w:rsid w:val="00977EF3"/>
    <w:rsid w:val="009806A5"/>
    <w:rsid w:val="00986C92"/>
    <w:rsid w:val="00997738"/>
    <w:rsid w:val="009B1891"/>
    <w:rsid w:val="009B6900"/>
    <w:rsid w:val="009C061C"/>
    <w:rsid w:val="009D29D4"/>
    <w:rsid w:val="009E265A"/>
    <w:rsid w:val="009E409D"/>
    <w:rsid w:val="009F1EDD"/>
    <w:rsid w:val="009F1EEB"/>
    <w:rsid w:val="009F3FC1"/>
    <w:rsid w:val="009F5167"/>
    <w:rsid w:val="00A012D0"/>
    <w:rsid w:val="00A0209C"/>
    <w:rsid w:val="00A02DA6"/>
    <w:rsid w:val="00A167FD"/>
    <w:rsid w:val="00A25B29"/>
    <w:rsid w:val="00A26F82"/>
    <w:rsid w:val="00A31EEC"/>
    <w:rsid w:val="00A326E6"/>
    <w:rsid w:val="00A33216"/>
    <w:rsid w:val="00A42785"/>
    <w:rsid w:val="00A50ECF"/>
    <w:rsid w:val="00A61184"/>
    <w:rsid w:val="00A80D80"/>
    <w:rsid w:val="00A83660"/>
    <w:rsid w:val="00A846FA"/>
    <w:rsid w:val="00A84BB7"/>
    <w:rsid w:val="00A93935"/>
    <w:rsid w:val="00A94EBC"/>
    <w:rsid w:val="00AA219C"/>
    <w:rsid w:val="00AB2D39"/>
    <w:rsid w:val="00AB6052"/>
    <w:rsid w:val="00AC1E49"/>
    <w:rsid w:val="00AC777A"/>
    <w:rsid w:val="00AD76EF"/>
    <w:rsid w:val="00AE5F67"/>
    <w:rsid w:val="00AF12D0"/>
    <w:rsid w:val="00AF138E"/>
    <w:rsid w:val="00AF14ED"/>
    <w:rsid w:val="00AF2396"/>
    <w:rsid w:val="00B10046"/>
    <w:rsid w:val="00B10699"/>
    <w:rsid w:val="00B1115B"/>
    <w:rsid w:val="00B1144D"/>
    <w:rsid w:val="00B11C28"/>
    <w:rsid w:val="00B20B70"/>
    <w:rsid w:val="00B22D02"/>
    <w:rsid w:val="00B23D57"/>
    <w:rsid w:val="00B351E0"/>
    <w:rsid w:val="00B3556A"/>
    <w:rsid w:val="00B43839"/>
    <w:rsid w:val="00B53154"/>
    <w:rsid w:val="00B54480"/>
    <w:rsid w:val="00B61A12"/>
    <w:rsid w:val="00B65F3C"/>
    <w:rsid w:val="00B70FDC"/>
    <w:rsid w:val="00B743E6"/>
    <w:rsid w:val="00B80C9E"/>
    <w:rsid w:val="00B81315"/>
    <w:rsid w:val="00B81F4A"/>
    <w:rsid w:val="00B86F8B"/>
    <w:rsid w:val="00B91E8A"/>
    <w:rsid w:val="00B96989"/>
    <w:rsid w:val="00B97C17"/>
    <w:rsid w:val="00BA5470"/>
    <w:rsid w:val="00BB236A"/>
    <w:rsid w:val="00BB24B4"/>
    <w:rsid w:val="00BB386D"/>
    <w:rsid w:val="00BB64C6"/>
    <w:rsid w:val="00BC2133"/>
    <w:rsid w:val="00BC6925"/>
    <w:rsid w:val="00BC7BAF"/>
    <w:rsid w:val="00BD788E"/>
    <w:rsid w:val="00BE4F3A"/>
    <w:rsid w:val="00BE6AD2"/>
    <w:rsid w:val="00BF2F7F"/>
    <w:rsid w:val="00BF4CA5"/>
    <w:rsid w:val="00C019A6"/>
    <w:rsid w:val="00C123B7"/>
    <w:rsid w:val="00C12D27"/>
    <w:rsid w:val="00C1448A"/>
    <w:rsid w:val="00C219E4"/>
    <w:rsid w:val="00C26EC8"/>
    <w:rsid w:val="00C50EF4"/>
    <w:rsid w:val="00C572A2"/>
    <w:rsid w:val="00C666A0"/>
    <w:rsid w:val="00C747E9"/>
    <w:rsid w:val="00C7558F"/>
    <w:rsid w:val="00C81A0E"/>
    <w:rsid w:val="00C866DA"/>
    <w:rsid w:val="00C87E84"/>
    <w:rsid w:val="00C90AB2"/>
    <w:rsid w:val="00C925EA"/>
    <w:rsid w:val="00CA02DD"/>
    <w:rsid w:val="00CA3CBF"/>
    <w:rsid w:val="00CB5E02"/>
    <w:rsid w:val="00CC4375"/>
    <w:rsid w:val="00CD110C"/>
    <w:rsid w:val="00CE1618"/>
    <w:rsid w:val="00CE1A42"/>
    <w:rsid w:val="00CF1861"/>
    <w:rsid w:val="00CF7457"/>
    <w:rsid w:val="00D10C99"/>
    <w:rsid w:val="00D11EAF"/>
    <w:rsid w:val="00D14CA1"/>
    <w:rsid w:val="00D16E11"/>
    <w:rsid w:val="00D32DB4"/>
    <w:rsid w:val="00D337ED"/>
    <w:rsid w:val="00D33853"/>
    <w:rsid w:val="00D43206"/>
    <w:rsid w:val="00D533E6"/>
    <w:rsid w:val="00D5526B"/>
    <w:rsid w:val="00D63722"/>
    <w:rsid w:val="00D66962"/>
    <w:rsid w:val="00D66A4F"/>
    <w:rsid w:val="00D66BAC"/>
    <w:rsid w:val="00D74E31"/>
    <w:rsid w:val="00D74F0A"/>
    <w:rsid w:val="00D76DF7"/>
    <w:rsid w:val="00D76EF6"/>
    <w:rsid w:val="00D77D2C"/>
    <w:rsid w:val="00D87D9C"/>
    <w:rsid w:val="00D92B3B"/>
    <w:rsid w:val="00DA7DED"/>
    <w:rsid w:val="00DB4752"/>
    <w:rsid w:val="00DB4B9D"/>
    <w:rsid w:val="00DB4D9D"/>
    <w:rsid w:val="00DB6F85"/>
    <w:rsid w:val="00DC6CEB"/>
    <w:rsid w:val="00DD0505"/>
    <w:rsid w:val="00DD539A"/>
    <w:rsid w:val="00DD6CC1"/>
    <w:rsid w:val="00DD7070"/>
    <w:rsid w:val="00DF2F08"/>
    <w:rsid w:val="00DF4A30"/>
    <w:rsid w:val="00E0050C"/>
    <w:rsid w:val="00E2450C"/>
    <w:rsid w:val="00E30686"/>
    <w:rsid w:val="00E30FEF"/>
    <w:rsid w:val="00E3237C"/>
    <w:rsid w:val="00E33061"/>
    <w:rsid w:val="00E340B5"/>
    <w:rsid w:val="00E4001E"/>
    <w:rsid w:val="00E4106B"/>
    <w:rsid w:val="00E53ACA"/>
    <w:rsid w:val="00E55EF0"/>
    <w:rsid w:val="00E56911"/>
    <w:rsid w:val="00E75BE9"/>
    <w:rsid w:val="00E76175"/>
    <w:rsid w:val="00E91BF1"/>
    <w:rsid w:val="00E92FFB"/>
    <w:rsid w:val="00E9409E"/>
    <w:rsid w:val="00E96D75"/>
    <w:rsid w:val="00EB4502"/>
    <w:rsid w:val="00EC5F62"/>
    <w:rsid w:val="00ED2CA6"/>
    <w:rsid w:val="00ED2EE7"/>
    <w:rsid w:val="00ED33E7"/>
    <w:rsid w:val="00ED3FE0"/>
    <w:rsid w:val="00EE4D3A"/>
    <w:rsid w:val="00EF05C2"/>
    <w:rsid w:val="00EF291D"/>
    <w:rsid w:val="00F05116"/>
    <w:rsid w:val="00F3351A"/>
    <w:rsid w:val="00F4105E"/>
    <w:rsid w:val="00F479CF"/>
    <w:rsid w:val="00F5391A"/>
    <w:rsid w:val="00F54B62"/>
    <w:rsid w:val="00F566FB"/>
    <w:rsid w:val="00F616DA"/>
    <w:rsid w:val="00F61EF7"/>
    <w:rsid w:val="00F6334A"/>
    <w:rsid w:val="00F63E45"/>
    <w:rsid w:val="00F65F98"/>
    <w:rsid w:val="00F7114A"/>
    <w:rsid w:val="00F76F95"/>
    <w:rsid w:val="00F80B5E"/>
    <w:rsid w:val="00F8121E"/>
    <w:rsid w:val="00F835BF"/>
    <w:rsid w:val="00F94E52"/>
    <w:rsid w:val="00F97215"/>
    <w:rsid w:val="00FA124D"/>
    <w:rsid w:val="00FB231C"/>
    <w:rsid w:val="00FC0B26"/>
    <w:rsid w:val="00FC6C1B"/>
    <w:rsid w:val="00FD3BBB"/>
    <w:rsid w:val="00FD4B8D"/>
    <w:rsid w:val="00FE2F79"/>
    <w:rsid w:val="00FE4B9B"/>
    <w:rsid w:val="00FF04CA"/>
    <w:rsid w:val="00FF55E9"/>
    <w:rsid w:val="00FF728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0F97"/>
    <w:rPr>
      <w:rFonts w:cstheme="minorBidi"/>
      <w:lang w:val="en-GB"/>
    </w:rPr>
  </w:style>
  <w:style w:type="paragraph" w:styleId="Heading1">
    <w:name w:val="heading 1"/>
    <w:aliases w:val="FSHeading 1,Chapter heading"/>
    <w:basedOn w:val="Normal"/>
    <w:next w:val="Normal"/>
    <w:link w:val="Heading1Char"/>
    <w:uiPriority w:val="2"/>
    <w:qFormat/>
    <w:rsid w:val="00C219E4"/>
    <w:pPr>
      <w:keepNext/>
      <w:numPr>
        <w:numId w:val="14"/>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C219E4"/>
    <w:pPr>
      <w:keepNext/>
      <w:numPr>
        <w:ilvl w:val="1"/>
        <w:numId w:val="14"/>
      </w:numPr>
      <w:spacing w:before="240" w:after="240"/>
      <w:ind w:left="578" w:hanging="578"/>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BB7"/>
    <w:pPr>
      <w:keepNext/>
      <w:numPr>
        <w:ilvl w:val="2"/>
        <w:numId w:val="1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1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1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219E4"/>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C219E4"/>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A84BB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OCHeading">
    <w:name w:val="TOC Heading"/>
    <w:basedOn w:val="Heading1"/>
    <w:next w:val="Normal"/>
    <w:uiPriority w:val="39"/>
    <w:semiHidden/>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F5391A"/>
    <w:pPr>
      <w:tabs>
        <w:tab w:val="left" w:pos="880"/>
        <w:tab w:val="right" w:leader="dot" w:pos="9060"/>
      </w:tabs>
      <w:spacing w:after="100"/>
      <w:ind w:left="426"/>
    </w:p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Normal"/>
    <w:uiPriority w:val="62"/>
    <w:rsid w:val="004873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925EA"/>
    <w:pPr>
      <w:autoSpaceDE w:val="0"/>
      <w:autoSpaceDN w:val="0"/>
      <w:adjustRightInd w:val="0"/>
    </w:pPr>
    <w:rPr>
      <w:color w:val="000000"/>
      <w:sz w:val="24"/>
      <w:szCs w:val="24"/>
      <w:lang w:val="en-GB"/>
    </w:rPr>
  </w:style>
  <w:style w:type="table" w:customStyle="1" w:styleId="TableGrid1">
    <w:name w:val="Table Grid1"/>
    <w:basedOn w:val="TableNormal"/>
    <w:next w:val="TableGrid"/>
    <w:uiPriority w:val="59"/>
    <w:rsid w:val="00C9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6903"/>
    <w:rPr>
      <w:i/>
      <w:iCs/>
    </w:rPr>
  </w:style>
  <w:style w:type="paragraph" w:customStyle="1" w:styleId="title10">
    <w:name w:val="title1"/>
    <w:basedOn w:val="Normal"/>
    <w:rsid w:val="007D31D9"/>
    <w:rPr>
      <w:rFonts w:ascii="Times New Roman" w:eastAsia="Times New Roman" w:hAnsi="Times New Roman" w:cs="Times New Roman"/>
      <w:sz w:val="27"/>
      <w:szCs w:val="27"/>
      <w:lang w:eastAsia="en-GB"/>
    </w:rPr>
  </w:style>
  <w:style w:type="paragraph" w:customStyle="1" w:styleId="desc2">
    <w:name w:val="desc2"/>
    <w:basedOn w:val="Normal"/>
    <w:rsid w:val="007D31D9"/>
    <w:rPr>
      <w:rFonts w:ascii="Times New Roman" w:eastAsia="Times New Roman" w:hAnsi="Times New Roman" w:cs="Times New Roman"/>
      <w:sz w:val="26"/>
      <w:szCs w:val="26"/>
      <w:lang w:eastAsia="en-GB"/>
    </w:rPr>
  </w:style>
  <w:style w:type="paragraph" w:customStyle="1" w:styleId="details1">
    <w:name w:val="details1"/>
    <w:basedOn w:val="Normal"/>
    <w:rsid w:val="007D31D9"/>
    <w:rPr>
      <w:rFonts w:ascii="Times New Roman" w:eastAsia="Times New Roman" w:hAnsi="Times New Roman" w:cs="Times New Roman"/>
      <w:lang w:eastAsia="en-GB"/>
    </w:rPr>
  </w:style>
  <w:style w:type="character" w:customStyle="1" w:styleId="jrnl">
    <w:name w:val="jrnl"/>
    <w:basedOn w:val="DefaultParagraphFont"/>
    <w:rsid w:val="007D31D9"/>
  </w:style>
  <w:style w:type="paragraph" w:styleId="Revision">
    <w:name w:val="Revision"/>
    <w:hidden/>
    <w:uiPriority w:val="99"/>
    <w:semiHidden/>
    <w:rsid w:val="00575184"/>
    <w:rPr>
      <w:rFonts w:cstheme="minorBidi"/>
      <w:lang w:val="en-GB"/>
    </w:rPr>
  </w:style>
  <w:style w:type="character" w:customStyle="1" w:styleId="pseudotab3">
    <w:name w:val="pseudotab3"/>
    <w:basedOn w:val="DefaultParagraphFont"/>
    <w:rsid w:val="00FE2F79"/>
  </w:style>
  <w:style w:type="character" w:styleId="FollowedHyperlink">
    <w:name w:val="FollowedHyperlink"/>
    <w:basedOn w:val="DefaultParagraphFont"/>
    <w:uiPriority w:val="99"/>
    <w:semiHidden/>
    <w:unhideWhenUsed/>
    <w:rsid w:val="00874C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uiPriority="3"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2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0F97"/>
    <w:rPr>
      <w:rFonts w:cstheme="minorBidi"/>
      <w:lang w:val="en-GB"/>
    </w:rPr>
  </w:style>
  <w:style w:type="paragraph" w:styleId="Heading1">
    <w:name w:val="heading 1"/>
    <w:aliases w:val="FSHeading 1,Chapter heading"/>
    <w:basedOn w:val="Normal"/>
    <w:next w:val="Normal"/>
    <w:link w:val="Heading1Char"/>
    <w:uiPriority w:val="2"/>
    <w:qFormat/>
    <w:rsid w:val="00C219E4"/>
    <w:pPr>
      <w:keepNext/>
      <w:numPr>
        <w:numId w:val="14"/>
      </w:numPr>
      <w:spacing w:before="240" w:after="240"/>
      <w:ind w:left="431" w:hanging="43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C219E4"/>
    <w:pPr>
      <w:keepNext/>
      <w:numPr>
        <w:ilvl w:val="1"/>
        <w:numId w:val="14"/>
      </w:numPr>
      <w:spacing w:before="240" w:after="240"/>
      <w:ind w:left="578" w:hanging="578"/>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A84BB7"/>
    <w:pPr>
      <w:keepNext/>
      <w:numPr>
        <w:ilvl w:val="2"/>
        <w:numId w:val="14"/>
      </w:numPr>
      <w:spacing w:before="240" w:after="240"/>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numPr>
        <w:ilvl w:val="3"/>
        <w:numId w:val="14"/>
      </w:numPr>
      <w:spacing w:before="240" w:after="240"/>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numPr>
        <w:ilvl w:val="4"/>
        <w:numId w:val="14"/>
      </w:numPr>
      <w:spacing w:before="240" w:after="240"/>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6F0F9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0F97"/>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0F97"/>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219E4"/>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C219E4"/>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A84BB7"/>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qFormat/>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TOCHeading">
    <w:name w:val="TOC Heading"/>
    <w:basedOn w:val="Heading1"/>
    <w:next w:val="Normal"/>
    <w:uiPriority w:val="39"/>
    <w:semiHidden/>
    <w:unhideWhenUsed/>
    <w:qFormat/>
    <w:rsid w:val="006F0F97"/>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6F0F97"/>
    <w:rPr>
      <w:rFonts w:ascii="Tahoma" w:hAnsi="Tahoma" w:cs="Tahoma"/>
      <w:sz w:val="16"/>
      <w:szCs w:val="16"/>
    </w:rPr>
  </w:style>
  <w:style w:type="character" w:customStyle="1" w:styleId="BalloonTextChar">
    <w:name w:val="Balloon Text Char"/>
    <w:basedOn w:val="DefaultParagraphFont"/>
    <w:link w:val="BalloonText"/>
    <w:uiPriority w:val="99"/>
    <w:semiHidden/>
    <w:rsid w:val="006F0F97"/>
    <w:rPr>
      <w:rFonts w:ascii="Tahoma" w:hAnsi="Tahoma" w:cs="Tahoma"/>
      <w:sz w:val="16"/>
      <w:szCs w:val="16"/>
      <w:lang w:val="en-GB"/>
    </w:rPr>
  </w:style>
  <w:style w:type="character" w:customStyle="1" w:styleId="Heading7Char">
    <w:name w:val="Heading 7 Char"/>
    <w:basedOn w:val="DefaultParagraphFont"/>
    <w:link w:val="Heading7"/>
    <w:uiPriority w:val="9"/>
    <w:semiHidden/>
    <w:rsid w:val="006F0F97"/>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6F0F97"/>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6F0F97"/>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F0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2F8E"/>
    <w:rPr>
      <w:sz w:val="16"/>
      <w:szCs w:val="16"/>
    </w:rPr>
  </w:style>
  <w:style w:type="paragraph" w:styleId="CommentText">
    <w:name w:val="annotation text"/>
    <w:basedOn w:val="Normal"/>
    <w:link w:val="CommentTextChar"/>
    <w:uiPriority w:val="99"/>
    <w:unhideWhenUsed/>
    <w:rsid w:val="000A2F8E"/>
    <w:rPr>
      <w:sz w:val="20"/>
      <w:szCs w:val="20"/>
    </w:rPr>
  </w:style>
  <w:style w:type="character" w:customStyle="1" w:styleId="CommentTextChar">
    <w:name w:val="Comment Text Char"/>
    <w:basedOn w:val="DefaultParagraphFont"/>
    <w:link w:val="CommentText"/>
    <w:uiPriority w:val="99"/>
    <w:rsid w:val="000A2F8E"/>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A2F8E"/>
    <w:rPr>
      <w:b/>
      <w:bCs/>
    </w:rPr>
  </w:style>
  <w:style w:type="character" w:customStyle="1" w:styleId="CommentSubjectChar">
    <w:name w:val="Comment Subject Char"/>
    <w:basedOn w:val="CommentTextChar"/>
    <w:link w:val="CommentSubject"/>
    <w:uiPriority w:val="99"/>
    <w:semiHidden/>
    <w:rsid w:val="000A2F8E"/>
    <w:rPr>
      <w:rFonts w:cstheme="minorBidi"/>
      <w:b/>
      <w:bCs/>
      <w:sz w:val="20"/>
      <w:szCs w:val="20"/>
      <w:lang w:val="en-GB"/>
    </w:rPr>
  </w:style>
  <w:style w:type="paragraph" w:styleId="TOC1">
    <w:name w:val="toc 1"/>
    <w:basedOn w:val="Normal"/>
    <w:next w:val="Normal"/>
    <w:autoRedefine/>
    <w:uiPriority w:val="39"/>
    <w:unhideWhenUsed/>
    <w:rsid w:val="00744F70"/>
    <w:pPr>
      <w:spacing w:after="100"/>
    </w:pPr>
  </w:style>
  <w:style w:type="paragraph" w:styleId="TOC2">
    <w:name w:val="toc 2"/>
    <w:basedOn w:val="Normal"/>
    <w:next w:val="Normal"/>
    <w:autoRedefine/>
    <w:uiPriority w:val="39"/>
    <w:unhideWhenUsed/>
    <w:rsid w:val="00F5391A"/>
    <w:pPr>
      <w:tabs>
        <w:tab w:val="left" w:pos="880"/>
        <w:tab w:val="right" w:leader="dot" w:pos="9060"/>
      </w:tabs>
      <w:spacing w:after="100"/>
      <w:ind w:left="426"/>
    </w:pPr>
  </w:style>
  <w:style w:type="character" w:styleId="Hyperlink">
    <w:name w:val="Hyperlink"/>
    <w:basedOn w:val="DefaultParagraphFont"/>
    <w:uiPriority w:val="99"/>
    <w:unhideWhenUsed/>
    <w:rsid w:val="00744F70"/>
    <w:rPr>
      <w:color w:val="0000FF" w:themeColor="hyperlink"/>
      <w:u w:val="single"/>
    </w:rPr>
  </w:style>
  <w:style w:type="paragraph" w:styleId="Caption">
    <w:name w:val="caption"/>
    <w:basedOn w:val="Normal"/>
    <w:next w:val="Normal"/>
    <w:uiPriority w:val="35"/>
    <w:unhideWhenUsed/>
    <w:qFormat/>
    <w:rsid w:val="007D729E"/>
    <w:pPr>
      <w:spacing w:after="200"/>
    </w:pPr>
    <w:rPr>
      <w:b/>
      <w:bCs/>
      <w:color w:val="4F81BD" w:themeColor="accent1"/>
      <w:sz w:val="18"/>
      <w:szCs w:val="18"/>
    </w:rPr>
  </w:style>
  <w:style w:type="character" w:styleId="FootnoteReference">
    <w:name w:val="footnote reference"/>
    <w:basedOn w:val="DefaultParagraphFont"/>
    <w:uiPriority w:val="99"/>
    <w:semiHidden/>
    <w:unhideWhenUsed/>
    <w:rsid w:val="007D729E"/>
    <w:rPr>
      <w:vertAlign w:val="superscript"/>
    </w:rPr>
  </w:style>
  <w:style w:type="table" w:styleId="LightGrid-Accent1">
    <w:name w:val="Light Grid Accent 1"/>
    <w:basedOn w:val="TableNormal"/>
    <w:uiPriority w:val="62"/>
    <w:rsid w:val="00FD3B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
    <w:name w:val="Medium Shading 1"/>
    <w:basedOn w:val="TableNormal"/>
    <w:uiPriority w:val="63"/>
    <w:rsid w:val="00C866D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C866D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unhideWhenUsed/>
    <w:rsid w:val="00C866DA"/>
    <w:pPr>
      <w:spacing w:before="100" w:beforeAutospacing="1" w:after="100" w:afterAutospacing="1"/>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unhideWhenUsed/>
    <w:rsid w:val="001A6240"/>
    <w:pPr>
      <w:spacing w:after="100"/>
      <w:ind w:left="440"/>
    </w:pPr>
  </w:style>
  <w:style w:type="table" w:styleId="LightList-Accent5">
    <w:name w:val="Light List Accent 5"/>
    <w:basedOn w:val="TableNormal"/>
    <w:uiPriority w:val="61"/>
    <w:rsid w:val="001C3C9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subtitle1">
    <w:name w:val="subtitle1"/>
    <w:basedOn w:val="Normal"/>
    <w:rsid w:val="002F714C"/>
    <w:pPr>
      <w:spacing w:before="240" w:after="240"/>
    </w:pPr>
    <w:rPr>
      <w:rFonts w:ascii="Times New Roman" w:eastAsia="Times New Roman" w:hAnsi="Times New Roman" w:cs="Times New Roman"/>
      <w:b/>
      <w:bCs/>
      <w:sz w:val="26"/>
      <w:szCs w:val="26"/>
      <w:lang w:eastAsia="en-GB"/>
    </w:rPr>
  </w:style>
  <w:style w:type="character" w:customStyle="1" w:styleId="Title1">
    <w:name w:val="Title1"/>
    <w:basedOn w:val="DefaultParagraphFont"/>
    <w:rsid w:val="009B6900"/>
  </w:style>
  <w:style w:type="table" w:styleId="LightGrid">
    <w:name w:val="Light Grid"/>
    <w:basedOn w:val="TableNormal"/>
    <w:uiPriority w:val="62"/>
    <w:rsid w:val="004873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48737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925EA"/>
    <w:pPr>
      <w:autoSpaceDE w:val="0"/>
      <w:autoSpaceDN w:val="0"/>
      <w:adjustRightInd w:val="0"/>
    </w:pPr>
    <w:rPr>
      <w:color w:val="000000"/>
      <w:sz w:val="24"/>
      <w:szCs w:val="24"/>
      <w:lang w:val="en-GB"/>
    </w:rPr>
  </w:style>
  <w:style w:type="table" w:customStyle="1" w:styleId="TableGrid1">
    <w:name w:val="Table Grid1"/>
    <w:basedOn w:val="TableNormal"/>
    <w:next w:val="TableGrid"/>
    <w:uiPriority w:val="59"/>
    <w:rsid w:val="00C92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76903"/>
    <w:rPr>
      <w:i/>
      <w:iCs/>
    </w:rPr>
  </w:style>
  <w:style w:type="paragraph" w:customStyle="1" w:styleId="title10">
    <w:name w:val="title1"/>
    <w:basedOn w:val="Normal"/>
    <w:rsid w:val="007D31D9"/>
    <w:rPr>
      <w:rFonts w:ascii="Times New Roman" w:eastAsia="Times New Roman" w:hAnsi="Times New Roman" w:cs="Times New Roman"/>
      <w:sz w:val="27"/>
      <w:szCs w:val="27"/>
      <w:lang w:eastAsia="en-GB"/>
    </w:rPr>
  </w:style>
  <w:style w:type="paragraph" w:customStyle="1" w:styleId="desc2">
    <w:name w:val="desc2"/>
    <w:basedOn w:val="Normal"/>
    <w:rsid w:val="007D31D9"/>
    <w:rPr>
      <w:rFonts w:ascii="Times New Roman" w:eastAsia="Times New Roman" w:hAnsi="Times New Roman" w:cs="Times New Roman"/>
      <w:sz w:val="26"/>
      <w:szCs w:val="26"/>
      <w:lang w:eastAsia="en-GB"/>
    </w:rPr>
  </w:style>
  <w:style w:type="paragraph" w:customStyle="1" w:styleId="details1">
    <w:name w:val="details1"/>
    <w:basedOn w:val="Normal"/>
    <w:rsid w:val="007D31D9"/>
    <w:rPr>
      <w:rFonts w:ascii="Times New Roman" w:eastAsia="Times New Roman" w:hAnsi="Times New Roman" w:cs="Times New Roman"/>
      <w:lang w:eastAsia="en-GB"/>
    </w:rPr>
  </w:style>
  <w:style w:type="character" w:customStyle="1" w:styleId="jrnl">
    <w:name w:val="jrnl"/>
    <w:basedOn w:val="DefaultParagraphFont"/>
    <w:rsid w:val="007D31D9"/>
  </w:style>
  <w:style w:type="paragraph" w:styleId="Revision">
    <w:name w:val="Revision"/>
    <w:hidden/>
    <w:uiPriority w:val="99"/>
    <w:semiHidden/>
    <w:rsid w:val="00575184"/>
    <w:rPr>
      <w:rFonts w:cstheme="minorBidi"/>
      <w:lang w:val="en-GB"/>
    </w:rPr>
  </w:style>
  <w:style w:type="character" w:customStyle="1" w:styleId="pseudotab3">
    <w:name w:val="pseudotab3"/>
    <w:basedOn w:val="DefaultParagraphFont"/>
    <w:rsid w:val="00FE2F79"/>
  </w:style>
  <w:style w:type="character" w:styleId="FollowedHyperlink">
    <w:name w:val="FollowedHyperlink"/>
    <w:basedOn w:val="DefaultParagraphFont"/>
    <w:uiPriority w:val="99"/>
    <w:semiHidden/>
    <w:unhideWhenUsed/>
    <w:rsid w:val="00874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011">
      <w:bodyDiv w:val="1"/>
      <w:marLeft w:val="0"/>
      <w:marRight w:val="0"/>
      <w:marTop w:val="0"/>
      <w:marBottom w:val="0"/>
      <w:divBdr>
        <w:top w:val="none" w:sz="0" w:space="0" w:color="auto"/>
        <w:left w:val="none" w:sz="0" w:space="0" w:color="auto"/>
        <w:bottom w:val="none" w:sz="0" w:space="0" w:color="auto"/>
        <w:right w:val="none" w:sz="0" w:space="0" w:color="auto"/>
      </w:divBdr>
      <w:divsChild>
        <w:div w:id="2108378144">
          <w:marLeft w:val="0"/>
          <w:marRight w:val="1"/>
          <w:marTop w:val="0"/>
          <w:marBottom w:val="0"/>
          <w:divBdr>
            <w:top w:val="none" w:sz="0" w:space="0" w:color="auto"/>
            <w:left w:val="none" w:sz="0" w:space="0" w:color="auto"/>
            <w:bottom w:val="none" w:sz="0" w:space="0" w:color="auto"/>
            <w:right w:val="none" w:sz="0" w:space="0" w:color="auto"/>
          </w:divBdr>
          <w:divsChild>
            <w:div w:id="1771968991">
              <w:marLeft w:val="0"/>
              <w:marRight w:val="0"/>
              <w:marTop w:val="0"/>
              <w:marBottom w:val="0"/>
              <w:divBdr>
                <w:top w:val="none" w:sz="0" w:space="0" w:color="auto"/>
                <w:left w:val="none" w:sz="0" w:space="0" w:color="auto"/>
                <w:bottom w:val="none" w:sz="0" w:space="0" w:color="auto"/>
                <w:right w:val="none" w:sz="0" w:space="0" w:color="auto"/>
              </w:divBdr>
              <w:divsChild>
                <w:div w:id="880749413">
                  <w:marLeft w:val="0"/>
                  <w:marRight w:val="1"/>
                  <w:marTop w:val="0"/>
                  <w:marBottom w:val="0"/>
                  <w:divBdr>
                    <w:top w:val="none" w:sz="0" w:space="0" w:color="auto"/>
                    <w:left w:val="none" w:sz="0" w:space="0" w:color="auto"/>
                    <w:bottom w:val="none" w:sz="0" w:space="0" w:color="auto"/>
                    <w:right w:val="none" w:sz="0" w:space="0" w:color="auto"/>
                  </w:divBdr>
                  <w:divsChild>
                    <w:div w:id="2122256670">
                      <w:marLeft w:val="0"/>
                      <w:marRight w:val="0"/>
                      <w:marTop w:val="0"/>
                      <w:marBottom w:val="0"/>
                      <w:divBdr>
                        <w:top w:val="none" w:sz="0" w:space="0" w:color="auto"/>
                        <w:left w:val="none" w:sz="0" w:space="0" w:color="auto"/>
                        <w:bottom w:val="none" w:sz="0" w:space="0" w:color="auto"/>
                        <w:right w:val="none" w:sz="0" w:space="0" w:color="auto"/>
                      </w:divBdr>
                      <w:divsChild>
                        <w:div w:id="465659457">
                          <w:marLeft w:val="0"/>
                          <w:marRight w:val="0"/>
                          <w:marTop w:val="0"/>
                          <w:marBottom w:val="0"/>
                          <w:divBdr>
                            <w:top w:val="none" w:sz="0" w:space="0" w:color="auto"/>
                            <w:left w:val="none" w:sz="0" w:space="0" w:color="auto"/>
                            <w:bottom w:val="none" w:sz="0" w:space="0" w:color="auto"/>
                            <w:right w:val="none" w:sz="0" w:space="0" w:color="auto"/>
                          </w:divBdr>
                          <w:divsChild>
                            <w:div w:id="1225532906">
                              <w:marLeft w:val="0"/>
                              <w:marRight w:val="0"/>
                              <w:marTop w:val="120"/>
                              <w:marBottom w:val="360"/>
                              <w:divBdr>
                                <w:top w:val="none" w:sz="0" w:space="0" w:color="auto"/>
                                <w:left w:val="none" w:sz="0" w:space="0" w:color="auto"/>
                                <w:bottom w:val="none" w:sz="0" w:space="0" w:color="auto"/>
                                <w:right w:val="none" w:sz="0" w:space="0" w:color="auto"/>
                              </w:divBdr>
                              <w:divsChild>
                                <w:div w:id="231818243">
                                  <w:marLeft w:val="420"/>
                                  <w:marRight w:val="0"/>
                                  <w:marTop w:val="0"/>
                                  <w:marBottom w:val="0"/>
                                  <w:divBdr>
                                    <w:top w:val="none" w:sz="0" w:space="0" w:color="auto"/>
                                    <w:left w:val="none" w:sz="0" w:space="0" w:color="auto"/>
                                    <w:bottom w:val="none" w:sz="0" w:space="0" w:color="auto"/>
                                    <w:right w:val="none" w:sz="0" w:space="0" w:color="auto"/>
                                  </w:divBdr>
                                  <w:divsChild>
                                    <w:div w:id="2536288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18380">
      <w:bodyDiv w:val="1"/>
      <w:marLeft w:val="0"/>
      <w:marRight w:val="0"/>
      <w:marTop w:val="0"/>
      <w:marBottom w:val="0"/>
      <w:divBdr>
        <w:top w:val="none" w:sz="0" w:space="0" w:color="auto"/>
        <w:left w:val="none" w:sz="0" w:space="0" w:color="auto"/>
        <w:bottom w:val="none" w:sz="0" w:space="0" w:color="auto"/>
        <w:right w:val="none" w:sz="0" w:space="0" w:color="auto"/>
      </w:divBdr>
    </w:div>
    <w:div w:id="809251166">
      <w:bodyDiv w:val="1"/>
      <w:marLeft w:val="0"/>
      <w:marRight w:val="0"/>
      <w:marTop w:val="0"/>
      <w:marBottom w:val="0"/>
      <w:divBdr>
        <w:top w:val="none" w:sz="0" w:space="0" w:color="auto"/>
        <w:left w:val="none" w:sz="0" w:space="0" w:color="auto"/>
        <w:bottom w:val="none" w:sz="0" w:space="0" w:color="auto"/>
        <w:right w:val="none" w:sz="0" w:space="0" w:color="auto"/>
      </w:divBdr>
      <w:divsChild>
        <w:div w:id="1749155921">
          <w:marLeft w:val="0"/>
          <w:marRight w:val="0"/>
          <w:marTop w:val="0"/>
          <w:marBottom w:val="0"/>
          <w:divBdr>
            <w:top w:val="none" w:sz="0" w:space="0" w:color="auto"/>
            <w:left w:val="none" w:sz="0" w:space="0" w:color="auto"/>
            <w:bottom w:val="none" w:sz="0" w:space="0" w:color="auto"/>
            <w:right w:val="none" w:sz="0" w:space="0" w:color="auto"/>
          </w:divBdr>
          <w:divsChild>
            <w:div w:id="188876463">
              <w:marLeft w:val="0"/>
              <w:marRight w:val="0"/>
              <w:marTop w:val="0"/>
              <w:marBottom w:val="0"/>
              <w:divBdr>
                <w:top w:val="none" w:sz="0" w:space="0" w:color="auto"/>
                <w:left w:val="none" w:sz="0" w:space="0" w:color="auto"/>
                <w:bottom w:val="none" w:sz="0" w:space="0" w:color="auto"/>
                <w:right w:val="none" w:sz="0" w:space="0" w:color="auto"/>
              </w:divBdr>
              <w:divsChild>
                <w:div w:id="400951473">
                  <w:marLeft w:val="0"/>
                  <w:marRight w:val="0"/>
                  <w:marTop w:val="0"/>
                  <w:marBottom w:val="0"/>
                  <w:divBdr>
                    <w:top w:val="none" w:sz="0" w:space="0" w:color="auto"/>
                    <w:left w:val="none" w:sz="0" w:space="0" w:color="auto"/>
                    <w:bottom w:val="none" w:sz="0" w:space="0" w:color="auto"/>
                    <w:right w:val="none" w:sz="0" w:space="0" w:color="auto"/>
                  </w:divBdr>
                  <w:divsChild>
                    <w:div w:id="131021595">
                      <w:marLeft w:val="0"/>
                      <w:marRight w:val="0"/>
                      <w:marTop w:val="0"/>
                      <w:marBottom w:val="0"/>
                      <w:divBdr>
                        <w:top w:val="none" w:sz="0" w:space="0" w:color="auto"/>
                        <w:left w:val="none" w:sz="0" w:space="0" w:color="auto"/>
                        <w:bottom w:val="none" w:sz="0" w:space="0" w:color="auto"/>
                        <w:right w:val="none" w:sz="0" w:space="0" w:color="auto"/>
                      </w:divBdr>
                      <w:divsChild>
                        <w:div w:id="311495497">
                          <w:marLeft w:val="0"/>
                          <w:marRight w:val="0"/>
                          <w:marTop w:val="0"/>
                          <w:marBottom w:val="0"/>
                          <w:divBdr>
                            <w:top w:val="none" w:sz="0" w:space="0" w:color="auto"/>
                            <w:left w:val="none" w:sz="0" w:space="0" w:color="auto"/>
                            <w:bottom w:val="none" w:sz="0" w:space="0" w:color="auto"/>
                            <w:right w:val="none" w:sz="0" w:space="0" w:color="auto"/>
                          </w:divBdr>
                          <w:divsChild>
                            <w:div w:id="1486168997">
                              <w:marLeft w:val="0"/>
                              <w:marRight w:val="0"/>
                              <w:marTop w:val="0"/>
                              <w:marBottom w:val="0"/>
                              <w:divBdr>
                                <w:top w:val="none" w:sz="0" w:space="0" w:color="auto"/>
                                <w:left w:val="none" w:sz="0" w:space="0" w:color="auto"/>
                                <w:bottom w:val="none" w:sz="0" w:space="0" w:color="auto"/>
                                <w:right w:val="none" w:sz="0" w:space="0" w:color="auto"/>
                              </w:divBdr>
                              <w:divsChild>
                                <w:div w:id="10460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90">
      <w:bodyDiv w:val="1"/>
      <w:marLeft w:val="0"/>
      <w:marRight w:val="0"/>
      <w:marTop w:val="0"/>
      <w:marBottom w:val="0"/>
      <w:divBdr>
        <w:top w:val="none" w:sz="0" w:space="0" w:color="auto"/>
        <w:left w:val="none" w:sz="0" w:space="0" w:color="auto"/>
        <w:bottom w:val="none" w:sz="0" w:space="0" w:color="auto"/>
        <w:right w:val="none" w:sz="0" w:space="0" w:color="auto"/>
      </w:divBdr>
      <w:divsChild>
        <w:div w:id="328598230">
          <w:marLeft w:val="0"/>
          <w:marRight w:val="0"/>
          <w:marTop w:val="0"/>
          <w:marBottom w:val="0"/>
          <w:divBdr>
            <w:top w:val="none" w:sz="0" w:space="0" w:color="auto"/>
            <w:left w:val="none" w:sz="0" w:space="0" w:color="auto"/>
            <w:bottom w:val="none" w:sz="0" w:space="0" w:color="auto"/>
            <w:right w:val="none" w:sz="0" w:space="0" w:color="auto"/>
          </w:divBdr>
          <w:divsChild>
            <w:div w:id="278148313">
              <w:marLeft w:val="0"/>
              <w:marRight w:val="0"/>
              <w:marTop w:val="0"/>
              <w:marBottom w:val="0"/>
              <w:divBdr>
                <w:top w:val="none" w:sz="0" w:space="0" w:color="auto"/>
                <w:left w:val="none" w:sz="0" w:space="0" w:color="auto"/>
                <w:bottom w:val="none" w:sz="0" w:space="0" w:color="auto"/>
                <w:right w:val="none" w:sz="0" w:space="0" w:color="auto"/>
              </w:divBdr>
              <w:divsChild>
                <w:div w:id="576013968">
                  <w:marLeft w:val="0"/>
                  <w:marRight w:val="0"/>
                  <w:marTop w:val="0"/>
                  <w:marBottom w:val="0"/>
                  <w:divBdr>
                    <w:top w:val="none" w:sz="0" w:space="0" w:color="auto"/>
                    <w:left w:val="none" w:sz="0" w:space="0" w:color="auto"/>
                    <w:bottom w:val="none" w:sz="0" w:space="0" w:color="auto"/>
                    <w:right w:val="none" w:sz="0" w:space="0" w:color="auto"/>
                  </w:divBdr>
                  <w:divsChild>
                    <w:div w:id="1327201313">
                      <w:marLeft w:val="0"/>
                      <w:marRight w:val="0"/>
                      <w:marTop w:val="0"/>
                      <w:marBottom w:val="0"/>
                      <w:divBdr>
                        <w:top w:val="none" w:sz="0" w:space="0" w:color="auto"/>
                        <w:left w:val="none" w:sz="0" w:space="0" w:color="auto"/>
                        <w:bottom w:val="none" w:sz="0" w:space="0" w:color="auto"/>
                        <w:right w:val="none" w:sz="0" w:space="0" w:color="auto"/>
                      </w:divBdr>
                      <w:divsChild>
                        <w:div w:id="1367482586">
                          <w:marLeft w:val="0"/>
                          <w:marRight w:val="0"/>
                          <w:marTop w:val="0"/>
                          <w:marBottom w:val="0"/>
                          <w:divBdr>
                            <w:top w:val="none" w:sz="0" w:space="0" w:color="auto"/>
                            <w:left w:val="none" w:sz="0" w:space="0" w:color="auto"/>
                            <w:bottom w:val="none" w:sz="0" w:space="0" w:color="auto"/>
                            <w:right w:val="none" w:sz="0" w:space="0" w:color="auto"/>
                          </w:divBdr>
                          <w:divsChild>
                            <w:div w:id="901983507">
                              <w:marLeft w:val="0"/>
                              <w:marRight w:val="0"/>
                              <w:marTop w:val="0"/>
                              <w:marBottom w:val="0"/>
                              <w:divBdr>
                                <w:top w:val="none" w:sz="0" w:space="0" w:color="auto"/>
                                <w:left w:val="none" w:sz="0" w:space="0" w:color="auto"/>
                                <w:bottom w:val="none" w:sz="0" w:space="0" w:color="auto"/>
                                <w:right w:val="none" w:sz="0" w:space="0" w:color="auto"/>
                              </w:divBdr>
                              <w:divsChild>
                                <w:div w:id="5842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Couture%20P%5BAuthor%5D&amp;cauthor=true&amp;cauthor_uid=16087973" TargetMode="External"/><Relationship Id="rId21" Type="http://schemas.openxmlformats.org/officeDocument/2006/relationships/image" Target="media/image3.emf"/><Relationship Id="rId42" Type="http://schemas.openxmlformats.org/officeDocument/2006/relationships/hyperlink" Target="http://www.ncbi.nlm.nih.gov/pubmed/?term=Wittes%20J%5BAuthor%5D&amp;cauthor=true&amp;cauthor_uid=9771853" TargetMode="External"/><Relationship Id="rId47" Type="http://schemas.openxmlformats.org/officeDocument/2006/relationships/hyperlink" Target="http://www.ncbi.nlm.nih.gov/pubmed/?term=Lemieux%20S%5BAuthor%5D&amp;cauthor=true&amp;cauthor_uid=18326596" TargetMode="External"/><Relationship Id="rId63" Type="http://schemas.openxmlformats.org/officeDocument/2006/relationships/hyperlink" Target="http://www.ncbi.nlm.nih.gov/pubmed/?term=Gerry%20AB%5BAuthor%5D&amp;cauthor=true&amp;cauthor_uid=16600923" TargetMode="External"/><Relationship Id="rId68" Type="http://schemas.openxmlformats.org/officeDocument/2006/relationships/hyperlink" Target="http://www.ncbi.nlm.nih.gov/pubmed/?term=Yaqoob%20P%5BAuthor%5D&amp;cauthor=true&amp;cauthor_uid=16600923" TargetMode="External"/><Relationship Id="rId7" Type="http://schemas.openxmlformats.org/officeDocument/2006/relationships/customXml" Target="../customXml/item7.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www.ncbi.nlm.nih.gov/pubmed/?term=Clausen%20P%5BAuthor%5D&amp;cauthor=true&amp;cauthor_uid=15220949" TargetMode="External"/><Relationship Id="rId11" Type="http://schemas.openxmlformats.org/officeDocument/2006/relationships/settings" Target="settings.xml"/><Relationship Id="rId24" Type="http://schemas.openxmlformats.org/officeDocument/2006/relationships/hyperlink" Target="http://dx.doi.org/10.1038/nutd.2010.4" TargetMode="External"/><Relationship Id="rId32" Type="http://schemas.openxmlformats.org/officeDocument/2006/relationships/hyperlink" Target="http://www.ncbi.nlm.nih.gov/pubmed/?term=Tholstrup%20T%5BAuthor%5D&amp;cauthor=true&amp;cauthor_uid=15220949" TargetMode="External"/><Relationship Id="rId37" Type="http://schemas.openxmlformats.org/officeDocument/2006/relationships/hyperlink" Target="http://www.foodstandards.gov.au/science/monitoringnutrients/Pages/Monitoring-of-trans-fatty-acids.aspx" TargetMode="External"/><Relationship Id="rId40" Type="http://schemas.openxmlformats.org/officeDocument/2006/relationships/hyperlink" Target="http://www.ncbi.nlm.nih.gov/pubmed/?term=Weststrate%20JA%5BAuthor%5D&amp;cauthor=true&amp;cauthor_uid=9771853" TargetMode="External"/><Relationship Id="rId45" Type="http://schemas.openxmlformats.org/officeDocument/2006/relationships/hyperlink" Target="http://www.ncbi.nlm.nih.gov/pubmed/?term=Schaefer%20EJ%5BAuthor%5D&amp;cauthor=true&amp;cauthor_uid=9771853" TargetMode="External"/><Relationship Id="rId53" Type="http://schemas.openxmlformats.org/officeDocument/2006/relationships/hyperlink" Target="http://www.ncbi.nlm.nih.gov/pubmed/?term=Uda%20S%5BAuthor%5D&amp;cauthor=true&amp;cauthor_uid=22917075" TargetMode="External"/><Relationship Id="rId58" Type="http://schemas.openxmlformats.org/officeDocument/2006/relationships/hyperlink" Target="http://www.ncbi.nlm.nih.gov/pubmed/?term=Pintus%20P%5BAuthor%5D&amp;cauthor=true&amp;cauthor_uid=22917075" TargetMode="External"/><Relationship Id="rId66" Type="http://schemas.openxmlformats.org/officeDocument/2006/relationships/hyperlink" Target="http://www.ncbi.nlm.nih.gov/pubmed/?term=Williams%20CM%5BAuthor%5D&amp;cauthor=true&amp;cauthor_uid=16600923" TargetMode="External"/><Relationship Id="rId5" Type="http://schemas.openxmlformats.org/officeDocument/2006/relationships/customXml" Target="../customXml/item5.xml"/><Relationship Id="rId61" Type="http://schemas.openxmlformats.org/officeDocument/2006/relationships/hyperlink" Target="http://www.ncbi.nlm.nih.gov/pubmed/?term=Moretti%20E%5BAuthor%5D&amp;cauthor=true&amp;cauthor_uid=16600923" TargetMode="External"/><Relationship Id="rId19" Type="http://schemas.openxmlformats.org/officeDocument/2006/relationships/hyperlink" Target="http://www.who.int/nutrition/topics/trans_fatty_acids/en/" TargetMode="External"/><Relationship Id="rId14" Type="http://schemas.openxmlformats.org/officeDocument/2006/relationships/endnotes" Target="endnotes.xml"/><Relationship Id="rId22" Type="http://schemas.openxmlformats.org/officeDocument/2006/relationships/image" Target="media/image4.png"/><Relationship Id="rId27" Type="http://schemas.openxmlformats.org/officeDocument/2006/relationships/hyperlink" Target="http://www.ncbi.nlm.nih.gov/pubmed/?term=Bergeron%20N%5BAuthor%5D&amp;cauthor=true&amp;cauthor_uid=16087973" TargetMode="External"/><Relationship Id="rId30" Type="http://schemas.openxmlformats.org/officeDocument/2006/relationships/hyperlink" Target="http://www.ncbi.nlm.nih.gov/pubmed/?term=Rasmussen%20BF%5BAuthor%5D&amp;cauthor=true&amp;cauthor_uid=15220949" TargetMode="External"/><Relationship Id="rId35" Type="http://schemas.openxmlformats.org/officeDocument/2006/relationships/hyperlink" Target="http://www.ncbi.nlm.nih.gov/pubmed/?term=Stender%20S%5BAuthor%5D&amp;cauthor=true&amp;cauthor_uid=15220949" TargetMode="External"/><Relationship Id="rId43" Type="http://schemas.openxmlformats.org/officeDocument/2006/relationships/hyperlink" Target="http://www.ncbi.nlm.nih.gov/pubmed/?term=Lichtenstein%20AH%5BAuthor%5D&amp;cauthor=true&amp;cauthor_uid=9771853" TargetMode="External"/><Relationship Id="rId48" Type="http://schemas.openxmlformats.org/officeDocument/2006/relationships/hyperlink" Target="http://www.ncbi.nlm.nih.gov/pubmed/?term=Couture%20P%5BAuthor%5D&amp;cauthor=true&amp;cauthor_uid=18326596" TargetMode="External"/><Relationship Id="rId56" Type="http://schemas.openxmlformats.org/officeDocument/2006/relationships/hyperlink" Target="http://www.ncbi.nlm.nih.gov/pubmed/?term=Secchiari%20P%5BAuthor%5D&amp;cauthor=true&amp;cauthor_uid=22917075" TargetMode="External"/><Relationship Id="rId64" Type="http://schemas.openxmlformats.org/officeDocument/2006/relationships/hyperlink" Target="http://www.ncbi.nlm.nih.gov/pubmed/?term=Leake%20DS%5BAuthor%5D&amp;cauthor=true&amp;cauthor_uid=16600923" TargetMode="External"/><Relationship Id="rId69" Type="http://schemas.openxmlformats.org/officeDocument/2006/relationships/footer" Target="footer4.xml"/><Relationship Id="rId8" Type="http://schemas.openxmlformats.org/officeDocument/2006/relationships/numbering" Target="numbering.xml"/><Relationship Id="rId51" Type="http://schemas.openxmlformats.org/officeDocument/2006/relationships/hyperlink" Target="http://www.ncbi.nlm.nih.gov/pubmed/?term=FunCLA%20Study%20Group%5BCorporate%20Author%5D"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www.ncbi.nlm.nih.gov/pubmed/?term=Lamarche%20B%5BAuthor%5D&amp;cauthor=true&amp;cauthor_uid=16087973" TargetMode="External"/><Relationship Id="rId33" Type="http://schemas.openxmlformats.org/officeDocument/2006/relationships/hyperlink" Target="http://www.ncbi.nlm.nih.gov/pubmed/?term=Toft%20E%5BAuthor%5D&amp;cauthor=true&amp;cauthor_uid=15220949" TargetMode="External"/><Relationship Id="rId38" Type="http://schemas.openxmlformats.org/officeDocument/2006/relationships/hyperlink" Target="http://www.ncbi.nlm.nih.gov/pubmed/?term=Muesing%20RA%5BAuthor%5D&amp;cauthor=true&amp;cauthor_uid=9771853" TargetMode="External"/><Relationship Id="rId46" Type="http://schemas.openxmlformats.org/officeDocument/2006/relationships/hyperlink" Target="http://www.ncbi.nlm.nih.gov/pubmed/?term=Lacroix+Charest+trans" TargetMode="External"/><Relationship Id="rId59" Type="http://schemas.openxmlformats.org/officeDocument/2006/relationships/hyperlink" Target="http://www.ncbi.nlm.nih.gov/pubmed/?term=Teng+Voon+hydrogenated" TargetMode="External"/><Relationship Id="rId67" Type="http://schemas.openxmlformats.org/officeDocument/2006/relationships/hyperlink" Target="http://www.ncbi.nlm.nih.gov/pubmed/?term=Calder%20PC%5BAuthor%5D&amp;cauthor=true&amp;cauthor_uid=16600923" TargetMode="External"/><Relationship Id="rId20" Type="http://schemas.openxmlformats.org/officeDocument/2006/relationships/image" Target="media/image2.tiff"/><Relationship Id="rId41" Type="http://schemas.openxmlformats.org/officeDocument/2006/relationships/hyperlink" Target="http://www.ncbi.nlm.nih.gov/pubmed/?term=Meijer%20GW%5BAuthor%5D&amp;cauthor=true&amp;cauthor_uid=9771853" TargetMode="External"/><Relationship Id="rId54" Type="http://schemas.openxmlformats.org/officeDocument/2006/relationships/hyperlink" Target="http://www.ncbi.nlm.nih.gov/pubmed/?term=Elena%20Ghiani%20M%5BAuthor%5D&amp;cauthor=true&amp;cauthor_uid=22917075" TargetMode="External"/><Relationship Id="rId62" Type="http://schemas.openxmlformats.org/officeDocument/2006/relationships/hyperlink" Target="http://www.ncbi.nlm.nih.gov/pubmed/?term=Hall%20WL%5BAuthor%5D&amp;cauthor=true&amp;cauthor_uid=16600923" TargetMode="External"/><Relationship Id="rId70" Type="http://schemas.openxmlformats.org/officeDocument/2006/relationships/fontTable" Target="fontTable.xml"/><Relationship Id="rId15" Type="http://schemas.openxmlformats.org/officeDocument/2006/relationships/image" Target="media/image1.jpeg"/><Relationship Id="rId23" Type="http://schemas.openxmlformats.org/officeDocument/2006/relationships/image" Target="media/image5.emf"/><Relationship Id="rId28" Type="http://schemas.openxmlformats.org/officeDocument/2006/relationships/hyperlink" Target="http://www.ncbi.nlm.nih.gov/pubmed/?term=Christensen%20JH%5BAuthor%5D&amp;cauthor=true&amp;cauthor_uid=15220949" TargetMode="External"/><Relationship Id="rId36" Type="http://schemas.openxmlformats.org/officeDocument/2006/relationships/hyperlink" Target="http://www.foodstandards.gov.au/code/proposals/pages/proposalp293nutritionhealthandrelatedclaims/p293draftassessmentr3501.aspx" TargetMode="External"/><Relationship Id="rId49" Type="http://schemas.openxmlformats.org/officeDocument/2006/relationships/hyperlink" Target="http://www.ncbi.nlm.nih.gov/pubmed/?term=Lamarche%20B%5BAuthor%5D&amp;cauthor=true&amp;cauthor_uid=18326596" TargetMode="External"/><Relationship Id="rId57" Type="http://schemas.openxmlformats.org/officeDocument/2006/relationships/hyperlink" Target="http://www.ncbi.nlm.nih.gov/pubmed/?term=Almerighi%20G%5BAuthor%5D&amp;cauthor=true&amp;cauthor_uid=22917075" TargetMode="External"/><Relationship Id="rId10" Type="http://schemas.microsoft.com/office/2007/relationships/stylesWithEffects" Target="stylesWithEffects.xml"/><Relationship Id="rId31" Type="http://schemas.openxmlformats.org/officeDocument/2006/relationships/hyperlink" Target="http://www.ncbi.nlm.nih.gov/pubmed/?term=Schmidt%20EB%5BAuthor%5D&amp;cauthor=true&amp;cauthor_uid=15220949" TargetMode="External"/><Relationship Id="rId44" Type="http://schemas.openxmlformats.org/officeDocument/2006/relationships/hyperlink" Target="http://www.ncbi.nlm.nih.gov/pubmed/?term=Vilella-Bach%20M%5BAuthor%5D&amp;cauthor=true&amp;cauthor_uid=9771853" TargetMode="External"/><Relationship Id="rId52" Type="http://schemas.openxmlformats.org/officeDocument/2006/relationships/hyperlink" Target="http://www.ncbi.nlm.nih.gov/pubmed/?term=Pistis%20D%5BAuthor%5D&amp;cauthor=true&amp;cauthor_uid=22917075" TargetMode="External"/><Relationship Id="rId60" Type="http://schemas.openxmlformats.org/officeDocument/2006/relationships/hyperlink" Target="https://www.tga.gov.au/publication/evidence-guidelines" TargetMode="External"/><Relationship Id="rId65" Type="http://schemas.openxmlformats.org/officeDocument/2006/relationships/hyperlink" Target="http://www.ncbi.nlm.nih.gov/pubmed/?term=Grimble%20RF%5BAuthor%5D&amp;cauthor=true&amp;cauthor_uid=16600923" TargetMode="Externa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footer" Target="footer3.xml"/><Relationship Id="rId39" Type="http://schemas.openxmlformats.org/officeDocument/2006/relationships/hyperlink" Target="http://www.ncbi.nlm.nih.gov/pubmed/?term=Chen%20SC%5BAuthor%5D&amp;cauthor=true&amp;cauthor_uid=9771853" TargetMode="External"/><Relationship Id="rId34" Type="http://schemas.openxmlformats.org/officeDocument/2006/relationships/hyperlink" Target="http://www.ncbi.nlm.nih.gov/pubmed/?term=Toubro%20S%5BAuthor%5D&amp;cauthor=true&amp;cauthor_uid=15220949" TargetMode="External"/><Relationship Id="rId50" Type="http://schemas.openxmlformats.org/officeDocument/2006/relationships/hyperlink" Target="http://www.ncbi.nlm.nih.gov/pubmed/?term=Mensink%20RP%5BAuthor%5D&amp;cauthor=true&amp;cauthor_uid=16289507" TargetMode="External"/><Relationship Id="rId55" Type="http://schemas.openxmlformats.org/officeDocument/2006/relationships/hyperlink" Target="http://www.ncbi.nlm.nih.gov/pubmed/?term=Mele%20M%5BAuthor%5D&amp;cauthor=true&amp;cauthor_uid=229170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science/monitoringnutrients/Pages/Monitoring-of-trans-fatty-acids.aspx" TargetMode="External"/><Relationship Id="rId1" Type="http://schemas.openxmlformats.org/officeDocument/2006/relationships/hyperlink" Target="http://www.foodstandards.gov.au/consumer/labelling/nutrition/pages/reviewsforhighlevelc30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263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Nutrition</TermName>
          <TermId>89c1c25d-24f9-464a-8f44-873e22e36ff7</TermId>
        </TermInfo>
      </Terms>
    </bd06d2da0152468b9236b575a71e0e7c>
    <_dlc_DocId xmlns="5759555f-5bed-45a4-a4c2-4e28e2623455">MMF7YEMDTSDN-388-7553</_dlc_DocId>
    <_dlc_DocIdUrl xmlns="5759555f-5bed-45a4-a4c2-4e28e2623455">
      <Url>http://fsintranet/IWG/HealthClaims/_layouts/15/DocIdRedir.aspx?ID=MMF7YEMDTSDN-388-7553</Url>
      <Description>MMF7YEMDTSDN-388-7553</Description>
    </_dlc_DocIdUrl>
    <_dlc_DocIdPersistId xmlns="5759555f-5bed-45a4-a4c2-4e28e2623455">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581D99576DC449FCAB10C0E3A1FAD" ma:contentTypeVersion="3" ma:contentTypeDescription="Create a new document." ma:contentTypeScope="" ma:versionID="04186d2e318d2c007e91a09559887cd8">
  <xsd:schema xmlns:xsd="http://www.w3.org/2001/XMLSchema" xmlns:xs="http://www.w3.org/2001/XMLSchema" xmlns:p="http://schemas.microsoft.com/office/2006/metadata/properties" xmlns:ns1="http://schemas.microsoft.com/sharepoint/v3" targetNamespace="http://schemas.microsoft.com/office/2006/metadata/properties" ma:root="true" ma:fieldsID="7aa0919162e6ddcbae05bbe9686f2e2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15753F59745B44E861937E200743B9C" ma:contentTypeVersion="47" ma:contentTypeDescription="FSANZ Record" ma:contentTypeScope="" ma:versionID="8788bd3c8873e9879a64582d56e756cc">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ffa5d877fd0de74518c8a47ea7b87f0"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04AB-DB7B-482D-8884-8B8D488613A3}">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2.xml><?xml version="1.0" encoding="utf-8"?>
<ds:datastoreItem xmlns:ds="http://schemas.openxmlformats.org/officeDocument/2006/customXml" ds:itemID="{C47EAE91-CC46-4458-A331-D46B24F3A6F8}"/>
</file>

<file path=customXml/itemProps3.xml><?xml version="1.0" encoding="utf-8"?>
<ds:datastoreItem xmlns:ds="http://schemas.openxmlformats.org/officeDocument/2006/customXml" ds:itemID="{97519959-0486-4E8F-A9D4-6DAA40F57BD5}"/>
</file>

<file path=customXml/itemProps4.xml><?xml version="1.0" encoding="utf-8"?>
<ds:datastoreItem xmlns:ds="http://schemas.openxmlformats.org/officeDocument/2006/customXml" ds:itemID="{C2EF7ECA-D82B-4844-8F3A-98122D2AED26}">
  <ds:schemaRefs>
    <ds:schemaRef ds:uri="http://schemas.microsoft.com/office/2006/metadata/customXsn"/>
  </ds:schemaRefs>
</ds:datastoreItem>
</file>

<file path=customXml/itemProps5.xml><?xml version="1.0" encoding="utf-8"?>
<ds:datastoreItem xmlns:ds="http://schemas.openxmlformats.org/officeDocument/2006/customXml" ds:itemID="{EDB704AB-DB7B-482D-8884-8B8D488613A3}"/>
</file>

<file path=customXml/itemProps6.xml><?xml version="1.0" encoding="utf-8"?>
<ds:datastoreItem xmlns:ds="http://schemas.openxmlformats.org/officeDocument/2006/customXml" ds:itemID="{43B6EFC7-B3D3-484E-9CCD-C34F4107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5759555f-5bed-45a4-a4c2-4e28e2623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4AF51CF-81B5-49FD-AD88-AE62CFCA0341}"/>
</file>

<file path=docProps/app.xml><?xml version="1.0" encoding="utf-8"?>
<Properties xmlns="http://schemas.openxmlformats.org/officeDocument/2006/extended-properties" xmlns:vt="http://schemas.openxmlformats.org/officeDocument/2006/docPropsVTypes">
  <Template>Normal</Template>
  <TotalTime>4</TotalTime>
  <Pages>21</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Systematic Review of trans fatty acids and cholesterol</vt:lpstr>
    </vt:vector>
  </TitlesOfParts>
  <Company>Foodstandards</Company>
  <LinksUpToDate>false</LinksUpToDate>
  <CharactersWithSpaces>49339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Systematic Review of trans fatty acids and cholesterol</dc:title>
  <dc:subject>high level health claims</dc:subject>
  <dc:creator>macked</dc:creator>
  <cp:lastModifiedBy>polegv</cp:lastModifiedBy>
  <cp:revision>4</cp:revision>
  <cp:lastPrinted>2017-07-06T00:26:00Z</cp:lastPrinted>
  <dcterms:created xsi:type="dcterms:W3CDTF">2017-07-06T00:22:00Z</dcterms:created>
  <dcterms:modified xsi:type="dcterms:W3CDTF">2017-07-06T00:26:00Z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0x01010036D581D99576DC449FCAB10C0E3A1FAD</vt:lpwstr>
  </property>
  <property fmtid="{D5CDD505-2E9C-101B-9397-08002B2CF9AE}" pid="3" name="DisposalClass">
    <vt:lpwstr/>
  </property>
  <property fmtid="{D5CDD505-2E9C-101B-9397-08002B2CF9AE}" pid="4" name="BCS_">
    <vt:lpwstr>263;#Nutrition|89c1c25d-24f9-464a-8f44-873e22e36ff7</vt:lpwstr>
  </property>
  <property fmtid="{D5CDD505-2E9C-101B-9397-08002B2CF9AE}" pid="5" name="_dlc_DocIdItemGuid">
    <vt:lpwstr>72ebb547-8ef5-4ff3-9f6d-6a73ff80604d</vt:lpwstr>
  </property>
  <property fmtid="{D5CDD505-2E9C-101B-9397-08002B2CF9AE}" pid="6" name="SPPCopyMoveEvent">
    <vt:lpwstr>1</vt:lpwstr>
  </property>
  <property fmtid="{D5CDD505-2E9C-101B-9397-08002B2CF9AE}" pid="7" name="TitusGUID">
    <vt:lpwstr>0ab6d896-46b3-4810-8e64-08273444d0db</vt:lpwstr>
  </property>
</Properties>
</file>